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6B897" w14:textId="77777777" w:rsidR="00797670" w:rsidRDefault="00797670">
      <w:pPr>
        <w:pStyle w:val="NormalWeb"/>
      </w:pPr>
      <w:r>
        <w:rPr>
          <w:rStyle w:val="Strong"/>
          <w:u w:val="single"/>
        </w:rPr>
        <w:t>TELIVRA AI</w:t>
      </w:r>
    </w:p>
    <w:p w14:paraId="19945F0F" w14:textId="77777777" w:rsidR="00797670" w:rsidRDefault="00797670">
      <w:pPr>
        <w:pStyle w:val="NormalWeb"/>
      </w:pPr>
      <w:r>
        <w:rPr>
          <w:rStyle w:val="Strong"/>
          <w:u w:val="single"/>
        </w:rPr>
        <w:t>System and Method for Unlocking a Computational Device Using Brainwaves During Quick Touch Contact</w:t>
      </w:r>
    </w:p>
    <w:p w14:paraId="6C0F92FF" w14:textId="77777777" w:rsidR="00797670" w:rsidRDefault="00797670">
      <w:pPr>
        <w:pStyle w:val="NormalWeb"/>
      </w:pPr>
      <w:r>
        <w:rPr>
          <w:rStyle w:val="Strong"/>
          <w:u w:val="single"/>
        </w:rPr>
        <w:t>Technology:</w:t>
      </w:r>
      <w:r>
        <w:t xml:space="preserve"> Telivra AI – Smart Glasses Bioelectrical Authentication Technology</w:t>
      </w:r>
    </w:p>
    <w:p w14:paraId="2C872498" w14:textId="77777777" w:rsidR="00797670" w:rsidRDefault="00797670">
      <w:pPr>
        <w:pStyle w:val="NormalWeb"/>
      </w:pPr>
      <w:r>
        <w:rPr>
          <w:rStyle w:val="Strong"/>
          <w:u w:val="single"/>
        </w:rPr>
        <w:t>Field:</w:t>
      </w:r>
      <w:r>
        <w:t xml:space="preserve"> Smart glasses, wearable biometric authentication, cranial bioelectrical sensing and cybersecurity</w:t>
      </w:r>
    </w:p>
    <w:p w14:paraId="57939A88" w14:textId="77777777" w:rsidR="00797670" w:rsidRDefault="00797670">
      <w:pPr>
        <w:pStyle w:val="NormalWeb"/>
      </w:pPr>
      <w:r>
        <w:rPr>
          <w:rStyle w:val="Strong"/>
          <w:u w:val="single"/>
        </w:rPr>
        <w:t>Patent Status:</w:t>
      </w:r>
      <w:r>
        <w:t xml:space="preserve"> Filed.</w:t>
      </w:r>
    </w:p>
    <w:p w14:paraId="549C3FE7" w14:textId="77777777" w:rsidR="00797670" w:rsidRDefault="00797670">
      <w:pPr>
        <w:pStyle w:val="NormalWeb"/>
      </w:pPr>
      <w:r>
        <w:rPr>
          <w:rStyle w:val="Strong"/>
          <w:u w:val="single"/>
        </w:rPr>
        <w:t>UK Patent Application Number:</w:t>
      </w:r>
      <w:r>
        <w:t xml:space="preserve"> GB2624486.3</w:t>
      </w:r>
    </w:p>
    <w:p w14:paraId="01732AD3" w14:textId="77777777" w:rsidR="00917082" w:rsidRDefault="00917082">
      <w:pPr>
        <w:rPr>
          <w:rFonts w:ascii="Roboto" w:eastAsia="Times New Roman" w:hAnsi="Roboto"/>
          <w:kern w:val="0"/>
          <w14:ligatures w14:val="none"/>
        </w:rPr>
      </w:pPr>
      <w:r>
        <w:rPr>
          <w:rFonts w:ascii="Roboto" w:eastAsia="Times New Roman" w:hAnsi="Roboto"/>
        </w:rPr>
        <w:t>GLOBAL EXPANSION &amp; PRIORITY TIMELINE</w:t>
      </w:r>
    </w:p>
    <w:p w14:paraId="3A3E93D4" w14:textId="1E220E62" w:rsidR="00917082" w:rsidRDefault="00917082">
      <w:pPr>
        <w:rPr>
          <w:rFonts w:ascii="Roboto" w:eastAsia="Times New Roman" w:hAnsi="Roboto"/>
        </w:rPr>
      </w:pPr>
      <w:r>
        <w:rPr>
          <w:rFonts w:ascii="Roboto" w:eastAsia="Times New Roman" w:hAnsi="Roboto"/>
        </w:rPr>
        <w:t>(This technology portfolio was officially filed on 6th October 2026. The 12-month international priority window under the Paris Convention is currently wide open, with a final deadline of 6th October 2027. This provides an acquiring entity or corporate partner with the immediate legal right to expand the patent globally—including direct filings with the USPTO (United States), JPO (Japan), EPO (Europe), and global PCT applications—while locking the legal priority date back to the original October 2026 timestamp to secure the asset as a global monopoly).</w:t>
      </w:r>
    </w:p>
    <w:p w14:paraId="094C5B5C" w14:textId="77777777" w:rsidR="00797670" w:rsidRDefault="00797670">
      <w:pPr>
        <w:pStyle w:val="NormalWeb"/>
      </w:pPr>
      <w:r>
        <w:rPr>
          <w:rStyle w:val="Strong"/>
          <w:u w:val="single"/>
        </w:rPr>
        <w:t>Technology Overview</w:t>
      </w:r>
    </w:p>
    <w:p w14:paraId="5159951D" w14:textId="77777777" w:rsidR="00797670" w:rsidRDefault="00797670">
      <w:pPr>
        <w:pStyle w:val="NormalWeb"/>
      </w:pPr>
      <w:r>
        <w:t>Telivra AI is a proposed smart-glasses authentication technology designed to investigate whether a user's identity can be verified using individual brain-related bioelectrical characteristics captured through electrodes integrated into the eyewear frame and lens structure.</w:t>
      </w:r>
    </w:p>
    <w:p w14:paraId="74BA5851" w14:textId="77777777" w:rsidR="00797670" w:rsidRDefault="00797670">
      <w:pPr>
        <w:pStyle w:val="NormalWeb"/>
      </w:pPr>
      <w:r>
        <w:t>The concept incorporates cranial sensing electrodes, conductive skin contacts, low-noise bioelectrical acquisition electronics and onboard signal processing. Its intended objective is to provide a convenient authentication method without requiring a separate EEG headband or external brain-sensing accessory.</w:t>
      </w:r>
    </w:p>
    <w:p w14:paraId="2BDB1303" w14:textId="77777777" w:rsidR="00797670" w:rsidRDefault="00797670">
      <w:pPr>
        <w:pStyle w:val="NormalWeb"/>
      </w:pPr>
      <w:r>
        <w:t>The proposed system would acquire bioelectrical signals through electrodes positioned around the forehead, nose bridge and temple regions. Additional contact points could be incorporated into designated hand or finger contact areas for experimental evaluation where the selected embodiment supports a manual-touch authentication interaction.</w:t>
      </w:r>
    </w:p>
    <w:p w14:paraId="0E753009" w14:textId="77777777" w:rsidR="00797670" w:rsidRDefault="00797670">
      <w:pPr>
        <w:pStyle w:val="NormalWeb"/>
      </w:pPr>
      <w:r>
        <w:t>The resulting signals would be processed to reduce interference, converted into biometric features and compared against a previously enrolled user template within the device's local processing and security architecture.</w:t>
      </w:r>
    </w:p>
    <w:p w14:paraId="40C089DC" w14:textId="77777777" w:rsidR="00797670" w:rsidRDefault="00797670">
      <w:pPr>
        <w:pStyle w:val="NormalWeb"/>
      </w:pPr>
      <w:r>
        <w:rPr>
          <w:rStyle w:val="Strong"/>
          <w:u w:val="single"/>
        </w:rPr>
        <w:t>Technical Architecture</w:t>
      </w:r>
    </w:p>
    <w:p w14:paraId="3575866D" w14:textId="77777777" w:rsidR="00797670" w:rsidRDefault="00797670">
      <w:pPr>
        <w:pStyle w:val="NormalWeb"/>
      </w:pPr>
      <w:r>
        <w:t>The proposed smart-glasses system combines the following components:</w:t>
      </w:r>
    </w:p>
    <w:p w14:paraId="78B2E4B4" w14:textId="77777777" w:rsidR="00797670" w:rsidRDefault="00797670" w:rsidP="00797670">
      <w:pPr>
        <w:numPr>
          <w:ilvl w:val="0"/>
          <w:numId w:val="1"/>
        </w:numPr>
        <w:spacing w:before="100" w:beforeAutospacing="1" w:after="100" w:afterAutospacing="1" w:line="240" w:lineRule="auto"/>
        <w:rPr>
          <w:rFonts w:eastAsia="Times New Roman"/>
        </w:rPr>
      </w:pPr>
      <w:r>
        <w:rPr>
          <w:rStyle w:val="Strong"/>
          <w:rFonts w:eastAsia="Times New Roman"/>
        </w:rPr>
        <w:t>Integrated cranial electrodes:</w:t>
      </w:r>
      <w:r>
        <w:rPr>
          <w:rFonts w:eastAsia="Times New Roman"/>
        </w:rPr>
        <w:t xml:space="preserve"> Skin-compatible contacts incorporated into the inner frame, eyebrow ridge, nose bridge or temple arms to acquire cranial bioelectrical signals.</w:t>
      </w:r>
    </w:p>
    <w:p w14:paraId="01FCB6D2" w14:textId="77777777" w:rsidR="00797670" w:rsidRDefault="00797670" w:rsidP="00797670">
      <w:pPr>
        <w:numPr>
          <w:ilvl w:val="0"/>
          <w:numId w:val="1"/>
        </w:numPr>
        <w:spacing w:before="100" w:beforeAutospacing="1" w:after="100" w:afterAutospacing="1" w:line="240" w:lineRule="auto"/>
        <w:rPr>
          <w:rFonts w:eastAsia="Times New Roman"/>
        </w:rPr>
      </w:pPr>
      <w:r>
        <w:rPr>
          <w:rStyle w:val="Strong"/>
          <w:rFonts w:eastAsia="Times New Roman"/>
        </w:rPr>
        <w:t>Four-cranial-electrode configuration:</w:t>
      </w:r>
      <w:r>
        <w:rPr>
          <w:rFonts w:eastAsia="Times New Roman"/>
        </w:rPr>
        <w:t xml:space="preserve"> A preferred experimental arrangement using four cranial electrodes to investigate simultaneous measurements, differential signal acquisition and potentially useful spatial information.</w:t>
      </w:r>
    </w:p>
    <w:p w14:paraId="56FE3948" w14:textId="77777777" w:rsidR="00797670" w:rsidRDefault="00797670" w:rsidP="00797670">
      <w:pPr>
        <w:numPr>
          <w:ilvl w:val="0"/>
          <w:numId w:val="1"/>
        </w:numPr>
        <w:spacing w:before="100" w:beforeAutospacing="1" w:after="100" w:afterAutospacing="1" w:line="240" w:lineRule="auto"/>
        <w:rPr>
          <w:rFonts w:eastAsia="Times New Roman"/>
        </w:rPr>
      </w:pPr>
      <w:r>
        <w:rPr>
          <w:rStyle w:val="Strong"/>
          <w:rFonts w:eastAsia="Times New Roman"/>
        </w:rPr>
        <w:t>Two additional hand or finger contacts:</w:t>
      </w:r>
      <w:r>
        <w:rPr>
          <w:rFonts w:eastAsia="Times New Roman"/>
        </w:rPr>
        <w:t xml:space="preserve"> An optional experimental arrangement comprising two conductive hand or finger contact points, evaluated alongside the cranial channels where appropriate to the authentication configuration.</w:t>
      </w:r>
    </w:p>
    <w:p w14:paraId="71E85254" w14:textId="77777777" w:rsidR="00797670" w:rsidRDefault="00797670" w:rsidP="00797670">
      <w:pPr>
        <w:numPr>
          <w:ilvl w:val="0"/>
          <w:numId w:val="1"/>
        </w:numPr>
        <w:spacing w:before="100" w:beforeAutospacing="1" w:after="100" w:afterAutospacing="1" w:line="240" w:lineRule="auto"/>
        <w:rPr>
          <w:rFonts w:eastAsia="Times New Roman"/>
        </w:rPr>
      </w:pPr>
      <w:r>
        <w:rPr>
          <w:rStyle w:val="Strong"/>
          <w:rFonts w:eastAsia="Times New Roman"/>
        </w:rPr>
        <w:t>Transparent sensing layer:</w:t>
      </w:r>
      <w:r>
        <w:rPr>
          <w:rFonts w:eastAsia="Times New Roman"/>
        </w:rPr>
        <w:t xml:space="preserve"> A potential conductive film using indium tin oxide (ITO), graphene, silver nanowires or conductive polymers, integrated into a suitable lens or frame-edge surface where the design requires a transparent electrode.</w:t>
      </w:r>
    </w:p>
    <w:p w14:paraId="78AB42D2" w14:textId="77777777" w:rsidR="00797670" w:rsidRDefault="00797670" w:rsidP="00797670">
      <w:pPr>
        <w:numPr>
          <w:ilvl w:val="0"/>
          <w:numId w:val="1"/>
        </w:numPr>
        <w:spacing w:before="100" w:beforeAutospacing="1" w:after="100" w:afterAutospacing="1" w:line="240" w:lineRule="auto"/>
        <w:rPr>
          <w:rFonts w:eastAsia="Times New Roman"/>
        </w:rPr>
      </w:pPr>
      <w:r>
        <w:rPr>
          <w:rStyle w:val="Strong"/>
          <w:rFonts w:eastAsia="Times New Roman"/>
        </w:rPr>
        <w:t>Low-noise amplifier:</w:t>
      </w:r>
      <w:r>
        <w:rPr>
          <w:rFonts w:eastAsia="Times New Roman"/>
        </w:rPr>
        <w:t xml:space="preserve"> A dedicated bioelectrical analogue front end positioned close to the cranial electrodes, preferably within the hinge, temple arm or thickest suitable frame section.</w:t>
      </w:r>
    </w:p>
    <w:p w14:paraId="5D2F581D" w14:textId="77777777" w:rsidR="00797670" w:rsidRDefault="00797670" w:rsidP="00797670">
      <w:pPr>
        <w:numPr>
          <w:ilvl w:val="0"/>
          <w:numId w:val="1"/>
        </w:numPr>
        <w:spacing w:before="100" w:beforeAutospacing="1" w:after="100" w:afterAutospacing="1" w:line="240" w:lineRule="auto"/>
        <w:rPr>
          <w:rFonts w:eastAsia="Times New Roman"/>
        </w:rPr>
      </w:pPr>
      <w:r>
        <w:rPr>
          <w:rStyle w:val="Strong"/>
          <w:rFonts w:eastAsia="Times New Roman"/>
        </w:rPr>
        <w:t>Analogue-to-digital conversion:</w:t>
      </w:r>
      <w:r>
        <w:rPr>
          <w:rFonts w:eastAsia="Times New Roman"/>
        </w:rPr>
        <w:t xml:space="preserve"> High-resolution signal digitisation with appropriate filtering and sampling to preserve weak bioelectrical signals.</w:t>
      </w:r>
    </w:p>
    <w:p w14:paraId="7C544B0A" w14:textId="77777777" w:rsidR="00797670" w:rsidRDefault="00797670" w:rsidP="00797670">
      <w:pPr>
        <w:numPr>
          <w:ilvl w:val="0"/>
          <w:numId w:val="1"/>
        </w:numPr>
        <w:spacing w:before="100" w:beforeAutospacing="1" w:after="100" w:afterAutospacing="1" w:line="240" w:lineRule="auto"/>
        <w:rPr>
          <w:rFonts w:eastAsia="Times New Roman"/>
        </w:rPr>
      </w:pPr>
      <w:r>
        <w:rPr>
          <w:rStyle w:val="Strong"/>
          <w:rFonts w:eastAsia="Times New Roman"/>
        </w:rPr>
        <w:t>Embedded processing:</w:t>
      </w:r>
      <w:r>
        <w:rPr>
          <w:rFonts w:eastAsia="Times New Roman"/>
        </w:rPr>
        <w:t xml:space="preserve"> Local processing using a suitable CPU, DSP or microcontroller to perform signal conditioning, feature extraction and authentication.</w:t>
      </w:r>
    </w:p>
    <w:p w14:paraId="48CFBE29" w14:textId="77777777" w:rsidR="00797670" w:rsidRDefault="00797670" w:rsidP="00797670">
      <w:pPr>
        <w:numPr>
          <w:ilvl w:val="0"/>
          <w:numId w:val="1"/>
        </w:numPr>
        <w:spacing w:before="100" w:beforeAutospacing="1" w:after="100" w:afterAutospacing="1" w:line="240" w:lineRule="auto"/>
        <w:rPr>
          <w:rFonts w:eastAsia="Times New Roman"/>
        </w:rPr>
      </w:pPr>
      <w:r>
        <w:rPr>
          <w:rStyle w:val="Strong"/>
          <w:rFonts w:eastAsia="Times New Roman"/>
        </w:rPr>
        <w:t>Motion sensing:</w:t>
      </w:r>
      <w:r>
        <w:rPr>
          <w:rFonts w:eastAsia="Times New Roman"/>
        </w:rPr>
        <w:t xml:space="preserve"> Potential integration of inertial sensors to help identify movement-related interference during signal acquisition.</w:t>
      </w:r>
    </w:p>
    <w:p w14:paraId="64BF0A93" w14:textId="77777777" w:rsidR="00797670" w:rsidRDefault="00797670" w:rsidP="00797670">
      <w:pPr>
        <w:numPr>
          <w:ilvl w:val="0"/>
          <w:numId w:val="1"/>
        </w:numPr>
        <w:spacing w:before="100" w:beforeAutospacing="1" w:after="100" w:afterAutospacing="1" w:line="240" w:lineRule="auto"/>
        <w:rPr>
          <w:rFonts w:eastAsia="Times New Roman"/>
        </w:rPr>
      </w:pPr>
      <w:r>
        <w:rPr>
          <w:rStyle w:val="Strong"/>
          <w:rFonts w:eastAsia="Times New Roman"/>
        </w:rPr>
        <w:t>Local biometric security:</w:t>
      </w:r>
      <w:r>
        <w:rPr>
          <w:rFonts w:eastAsia="Times New Roman"/>
        </w:rPr>
        <w:t xml:space="preserve"> On-device comparison of derived biometric features with enrolled user data, intended to avoid the need to transmit raw bioelectrical signals to a remote server for authentication.</w:t>
      </w:r>
    </w:p>
    <w:p w14:paraId="1005A7E2" w14:textId="77777777" w:rsidR="00797670" w:rsidRDefault="00797670">
      <w:pPr>
        <w:pStyle w:val="NormalWeb"/>
      </w:pPr>
      <w:r>
        <w:t>The exact electrode arrangement, channel count, component selection and mechanical layout would be determined through engineering assessment.</w:t>
      </w:r>
    </w:p>
    <w:p w14:paraId="440653F4" w14:textId="77777777" w:rsidR="00797670" w:rsidRDefault="00797670">
      <w:pPr>
        <w:pStyle w:val="NormalWeb"/>
      </w:pPr>
      <w:r>
        <w:rPr>
          <w:rStyle w:val="Strong"/>
          <w:u w:val="single"/>
        </w:rPr>
        <w:t>Electrode Configuration and Placement</w:t>
      </w:r>
    </w:p>
    <w:p w14:paraId="41CFA317" w14:textId="77777777" w:rsidR="00797670" w:rsidRDefault="00797670">
      <w:pPr>
        <w:pStyle w:val="NormalWeb"/>
      </w:pPr>
      <w:r>
        <w:t>One of the principal configurations to investigate is a four-cranial-electrode arrangement distributed across suitable contact points around the eyebrow ridge, forehead and temple regions of the smart-glasses frame.</w:t>
      </w:r>
    </w:p>
    <w:p w14:paraId="55B06EF6" w14:textId="77777777" w:rsidR="00797670" w:rsidRDefault="00797670">
      <w:pPr>
        <w:pStyle w:val="NormalWeb"/>
      </w:pPr>
      <w:r>
        <w:t>Potential positions include:</w:t>
      </w:r>
    </w:p>
    <w:p w14:paraId="6C9DC9C0" w14:textId="77777777" w:rsidR="00797670" w:rsidRDefault="00797670" w:rsidP="00797670">
      <w:pPr>
        <w:numPr>
          <w:ilvl w:val="0"/>
          <w:numId w:val="2"/>
        </w:numPr>
        <w:spacing w:before="100" w:beforeAutospacing="1" w:after="100" w:afterAutospacing="1" w:line="240" w:lineRule="auto"/>
        <w:rPr>
          <w:rFonts w:eastAsia="Times New Roman"/>
        </w:rPr>
      </w:pPr>
      <w:r>
        <w:rPr>
          <w:rStyle w:val="Strong"/>
          <w:rFonts w:eastAsia="Times New Roman"/>
        </w:rPr>
        <w:t>Forehead and eyebrow ridge:</w:t>
      </w:r>
      <w:r>
        <w:rPr>
          <w:rFonts w:eastAsia="Times New Roman"/>
        </w:rPr>
        <w:t xml:space="preserve"> Cranial sensing contacts positioned to maintain consistent skin contact above or around the eyebrows.</w:t>
      </w:r>
    </w:p>
    <w:p w14:paraId="7C51CAA6" w14:textId="77777777" w:rsidR="00797670" w:rsidRDefault="00797670" w:rsidP="00797670">
      <w:pPr>
        <w:numPr>
          <w:ilvl w:val="0"/>
          <w:numId w:val="2"/>
        </w:numPr>
        <w:spacing w:before="100" w:beforeAutospacing="1" w:after="100" w:afterAutospacing="1" w:line="240" w:lineRule="auto"/>
        <w:rPr>
          <w:rFonts w:eastAsia="Times New Roman"/>
        </w:rPr>
      </w:pPr>
      <w:r>
        <w:rPr>
          <w:rStyle w:val="Strong"/>
          <w:rFonts w:eastAsia="Times New Roman"/>
        </w:rPr>
        <w:t>Temple arms:</w:t>
      </w:r>
      <w:r>
        <w:rPr>
          <w:rFonts w:eastAsia="Times New Roman"/>
        </w:rPr>
        <w:t xml:space="preserve"> Electrodes positioned along the inward-facing surfaces of the arms, including areas near the temples or behind the ears.</w:t>
      </w:r>
    </w:p>
    <w:p w14:paraId="68D844E7" w14:textId="77777777" w:rsidR="00797670" w:rsidRDefault="00797670" w:rsidP="00797670">
      <w:pPr>
        <w:numPr>
          <w:ilvl w:val="0"/>
          <w:numId w:val="2"/>
        </w:numPr>
        <w:spacing w:before="100" w:beforeAutospacing="1" w:after="100" w:afterAutospacing="1" w:line="240" w:lineRule="auto"/>
        <w:rPr>
          <w:rFonts w:eastAsia="Times New Roman"/>
        </w:rPr>
      </w:pPr>
      <w:r>
        <w:rPr>
          <w:rStyle w:val="Strong"/>
          <w:rFonts w:eastAsia="Times New Roman"/>
        </w:rPr>
        <w:t>Nose bridge:</w:t>
      </w:r>
      <w:r>
        <w:rPr>
          <w:rFonts w:eastAsia="Times New Roman"/>
        </w:rPr>
        <w:t xml:space="preserve"> A potential reference or ground contact integrated into the nose-pad or bridge assembly.</w:t>
      </w:r>
    </w:p>
    <w:p w14:paraId="4BD842D6" w14:textId="77777777" w:rsidR="00797670" w:rsidRDefault="00797670" w:rsidP="00797670">
      <w:pPr>
        <w:numPr>
          <w:ilvl w:val="0"/>
          <w:numId w:val="2"/>
        </w:numPr>
        <w:spacing w:before="100" w:beforeAutospacing="1" w:after="100" w:afterAutospacing="1" w:line="240" w:lineRule="auto"/>
        <w:rPr>
          <w:rFonts w:eastAsia="Times New Roman"/>
        </w:rPr>
      </w:pPr>
      <w:r>
        <w:rPr>
          <w:rStyle w:val="Strong"/>
          <w:rFonts w:eastAsia="Times New Roman"/>
        </w:rPr>
        <w:t>Lens or frame edge:</w:t>
      </w:r>
      <w:r>
        <w:rPr>
          <w:rFonts w:eastAsia="Times New Roman"/>
        </w:rPr>
        <w:t xml:space="preserve"> A transparent conductive sensing layer incorporated into a suitable optical or frame component, where appropriate.</w:t>
      </w:r>
    </w:p>
    <w:p w14:paraId="4288DB51" w14:textId="77777777" w:rsidR="00797670" w:rsidRDefault="00797670" w:rsidP="00797670">
      <w:pPr>
        <w:numPr>
          <w:ilvl w:val="0"/>
          <w:numId w:val="2"/>
        </w:numPr>
        <w:spacing w:before="100" w:beforeAutospacing="1" w:after="100" w:afterAutospacing="1" w:line="240" w:lineRule="auto"/>
        <w:rPr>
          <w:rFonts w:eastAsia="Times New Roman"/>
        </w:rPr>
      </w:pPr>
      <w:r>
        <w:rPr>
          <w:rStyle w:val="Strong"/>
          <w:rFonts w:eastAsia="Times New Roman"/>
        </w:rPr>
        <w:t>Hand or finger contacts:</w:t>
      </w:r>
      <w:r>
        <w:rPr>
          <w:rFonts w:eastAsia="Times New Roman"/>
        </w:rPr>
        <w:t xml:space="preserve"> Two additional conductive contact points that could be tested as supplementary measurement or reference channels during a manual-touch interaction.</w:t>
      </w:r>
    </w:p>
    <w:p w14:paraId="17528885" w14:textId="77777777" w:rsidR="00797670" w:rsidRDefault="00797670">
      <w:pPr>
        <w:pStyle w:val="NormalWeb"/>
      </w:pPr>
      <w:r>
        <w:t>The engineering assessment should compare differential measurements between suitable cranial electrode pairs against configurations using a nose-bridge reference or additional contact channels. It should also establish whether the optional hand or finger contacts improve signal quality or introduce additional noise.</w:t>
      </w:r>
    </w:p>
    <w:p w14:paraId="544C24D7" w14:textId="77777777" w:rsidR="00797670" w:rsidRDefault="00797670">
      <w:pPr>
        <w:pStyle w:val="NormalWeb"/>
      </w:pPr>
      <w:r>
        <w:t>A four-cranial-electrode configuration could provide more simultaneous measurements than a single cranial contact, but the amount of useful spatial information would depend on electrode placement, contact quality, channel independence and the signal-processing method.</w:t>
      </w:r>
    </w:p>
    <w:p w14:paraId="082E33BC" w14:textId="77777777" w:rsidR="00797670" w:rsidRDefault="00797670">
      <w:pPr>
        <w:pStyle w:val="NormalWeb"/>
      </w:pPr>
      <w:r>
        <w:t>The final configuration should prioritise repeatable contact, wearer comfort, practical frame integration and reliable raw-data acquisition.</w:t>
      </w:r>
    </w:p>
    <w:p w14:paraId="6F836ECA" w14:textId="77777777" w:rsidR="00797670" w:rsidRDefault="00797670">
      <w:pPr>
        <w:pStyle w:val="NormalWeb"/>
      </w:pPr>
      <w:r>
        <w:rPr>
          <w:rStyle w:val="Strong"/>
          <w:u w:val="single"/>
        </w:rPr>
        <w:t>Low-Noise Amplifier and Electronics</w:t>
      </w:r>
    </w:p>
    <w:p w14:paraId="203E1DC4" w14:textId="77777777" w:rsidR="00797670" w:rsidRDefault="00797670">
      <w:pPr>
        <w:pStyle w:val="NormalWeb"/>
      </w:pPr>
      <w:r>
        <w:t>A low-noise bioelectrical amplifier positioned close to the cranial electrodes is a required consideration in the proposed engineering design.</w:t>
      </w:r>
    </w:p>
    <w:p w14:paraId="0A08AEB7" w14:textId="77777777" w:rsidR="00797670" w:rsidRDefault="00797670">
      <w:pPr>
        <w:pStyle w:val="NormalWeb"/>
      </w:pPr>
      <w:r>
        <w:t>The assessment should investigate a high-input-impedance analogue front end with strong common-mode noise rejection, suitable input protection, appropriate analogue filtering and high-resolution ADC capability.</w:t>
      </w:r>
    </w:p>
    <w:p w14:paraId="0A23530A" w14:textId="77777777" w:rsidR="00797670" w:rsidRDefault="00797670">
      <w:pPr>
        <w:pStyle w:val="NormalWeb"/>
      </w:pPr>
      <w:r>
        <w:t>The amplifier could potentially be integrated into a hinge or the thickest practical section of a temple arm, keeping the sensitive analogue signal path short and reducing susceptibility to interference from displays, wireless electronics, processors and power circuitry.</w:t>
      </w:r>
    </w:p>
    <w:p w14:paraId="08354EB9" w14:textId="5BBE2066" w:rsidR="00797670" w:rsidRDefault="00797670">
      <w:pPr>
        <w:pStyle w:val="NormalWeb"/>
      </w:pPr>
      <w:r>
        <w:t xml:space="preserve">A commercially available </w:t>
      </w:r>
      <w:r w:rsidR="00E12177">
        <w:t xml:space="preserve">and in use </w:t>
      </w:r>
      <w:r>
        <w:t>component such as the Texas Instruments ADS1299 may be evaluated as a candidate biosensing front end, subject to verification of its channel requirements, noise performance, power consumption, physical size and suitability for the intended smart-glasses configuration.</w:t>
      </w:r>
    </w:p>
    <w:p w14:paraId="0019C981" w14:textId="77777777" w:rsidR="00797670" w:rsidRDefault="00797670">
      <w:pPr>
        <w:pStyle w:val="NormalWeb"/>
      </w:pPr>
      <w:r>
        <w:t>The engineering report should distinguish commercially available components from the custom circuitry, electrode interfaces, mechanical structures and software integration that would still be required.</w:t>
      </w:r>
    </w:p>
    <w:p w14:paraId="78541979" w14:textId="77777777" w:rsidR="00797670" w:rsidRDefault="00797670">
      <w:pPr>
        <w:pStyle w:val="NormalWeb"/>
      </w:pPr>
      <w:r>
        <w:rPr>
          <w:rStyle w:val="Strong"/>
          <w:u w:val="single"/>
        </w:rPr>
        <w:t>Potential Manufacturing Approach</w:t>
      </w:r>
    </w:p>
    <w:p w14:paraId="4D623F54" w14:textId="77777777" w:rsidR="00797670" w:rsidRDefault="00797670">
      <w:pPr>
        <w:pStyle w:val="NormalWeb"/>
      </w:pPr>
      <w:r>
        <w:t>Telivra AI is intended to investigate integration using commercially available electronics and established eyewear manufacturing processes wherever practical.</w:t>
      </w:r>
    </w:p>
    <w:p w14:paraId="4D24511B" w14:textId="77777777" w:rsidR="00797670" w:rsidRDefault="00797670">
      <w:pPr>
        <w:pStyle w:val="NormalWeb"/>
      </w:pPr>
      <w:r>
        <w:t>Potential manufacturing elements include:</w:t>
      </w:r>
    </w:p>
    <w:p w14:paraId="05485F9D" w14:textId="77777777" w:rsidR="00797670" w:rsidRDefault="00797670" w:rsidP="00797670">
      <w:pPr>
        <w:numPr>
          <w:ilvl w:val="0"/>
          <w:numId w:val="3"/>
        </w:numPr>
        <w:spacing w:before="100" w:beforeAutospacing="1" w:after="100" w:afterAutospacing="1" w:line="240" w:lineRule="auto"/>
        <w:rPr>
          <w:rFonts w:eastAsia="Times New Roman"/>
        </w:rPr>
      </w:pPr>
      <w:r>
        <w:rPr>
          <w:rFonts w:eastAsia="Times New Roman"/>
        </w:rPr>
        <w:t>Conventional smart-glasses frame and temple-arm manufacturing</w:t>
      </w:r>
    </w:p>
    <w:p w14:paraId="4488C59A" w14:textId="77777777" w:rsidR="00797670" w:rsidRDefault="00797670" w:rsidP="00797670">
      <w:pPr>
        <w:numPr>
          <w:ilvl w:val="0"/>
          <w:numId w:val="3"/>
        </w:numPr>
        <w:spacing w:before="100" w:beforeAutospacing="1" w:after="100" w:afterAutospacing="1" w:line="240" w:lineRule="auto"/>
        <w:rPr>
          <w:rFonts w:eastAsia="Times New Roman"/>
        </w:rPr>
      </w:pPr>
      <w:r>
        <w:rPr>
          <w:rFonts w:eastAsia="Times New Roman"/>
        </w:rPr>
        <w:t>Custom conductive skin-contact surfaces and electrode holders</w:t>
      </w:r>
    </w:p>
    <w:p w14:paraId="4E118E4B" w14:textId="77777777" w:rsidR="00797670" w:rsidRDefault="00797670" w:rsidP="00797670">
      <w:pPr>
        <w:numPr>
          <w:ilvl w:val="0"/>
          <w:numId w:val="3"/>
        </w:numPr>
        <w:spacing w:before="100" w:beforeAutospacing="1" w:after="100" w:afterAutospacing="1" w:line="240" w:lineRule="auto"/>
        <w:rPr>
          <w:rFonts w:eastAsia="Times New Roman"/>
        </w:rPr>
      </w:pPr>
      <w:r>
        <w:rPr>
          <w:rFonts w:eastAsia="Times New Roman"/>
        </w:rPr>
        <w:t>Transparent conductive coatings, including ITO, where suitable</w:t>
      </w:r>
    </w:p>
    <w:p w14:paraId="128CBBED" w14:textId="77777777" w:rsidR="00797670" w:rsidRDefault="00797670" w:rsidP="00797670">
      <w:pPr>
        <w:numPr>
          <w:ilvl w:val="0"/>
          <w:numId w:val="3"/>
        </w:numPr>
        <w:spacing w:before="100" w:beforeAutospacing="1" w:after="100" w:afterAutospacing="1" w:line="240" w:lineRule="auto"/>
        <w:rPr>
          <w:rFonts w:eastAsia="Times New Roman"/>
        </w:rPr>
      </w:pPr>
      <w:r>
        <w:rPr>
          <w:rFonts w:eastAsia="Times New Roman"/>
        </w:rPr>
        <w:t>Compact PCB assemblies and low-noise analogue circuitry</w:t>
      </w:r>
    </w:p>
    <w:p w14:paraId="3C121D0F" w14:textId="77777777" w:rsidR="00797670" w:rsidRDefault="00797670" w:rsidP="00797670">
      <w:pPr>
        <w:numPr>
          <w:ilvl w:val="0"/>
          <w:numId w:val="3"/>
        </w:numPr>
        <w:spacing w:before="100" w:beforeAutospacing="1" w:after="100" w:afterAutospacing="1" w:line="240" w:lineRule="auto"/>
        <w:rPr>
          <w:rFonts w:eastAsia="Times New Roman"/>
        </w:rPr>
      </w:pPr>
      <w:r>
        <w:rPr>
          <w:rFonts w:eastAsia="Times New Roman"/>
        </w:rPr>
        <w:t>Embedded processors, ADCs and motion sensors</w:t>
      </w:r>
    </w:p>
    <w:p w14:paraId="1DF19780" w14:textId="77777777" w:rsidR="00797670" w:rsidRDefault="00797670" w:rsidP="00797670">
      <w:pPr>
        <w:numPr>
          <w:ilvl w:val="0"/>
          <w:numId w:val="3"/>
        </w:numPr>
        <w:spacing w:before="100" w:beforeAutospacing="1" w:after="100" w:afterAutospacing="1" w:line="240" w:lineRule="auto"/>
        <w:rPr>
          <w:rFonts w:eastAsia="Times New Roman"/>
        </w:rPr>
      </w:pPr>
      <w:r>
        <w:rPr>
          <w:rFonts w:eastAsia="Times New Roman"/>
        </w:rPr>
        <w:t>Secure local storage and biometric-processing software</w:t>
      </w:r>
    </w:p>
    <w:p w14:paraId="584DD52D" w14:textId="77777777" w:rsidR="00797670" w:rsidRDefault="00797670">
      <w:pPr>
        <w:pStyle w:val="NormalWeb"/>
      </w:pPr>
      <w:r>
        <w:t>Transparent conductive materials already have established uses in electronic and optical applications. However, their use in a smart-glasses lens does not automatically establish that the resulting structure will capture suitable EEG-related signals. Electrical contact, electrode impedance, amplifier performance, optical requirements and mechanical integration must be assessed together.</w:t>
      </w:r>
    </w:p>
    <w:p w14:paraId="3CF80AB8" w14:textId="77777777" w:rsidR="00797670" w:rsidRDefault="00797670">
      <w:pPr>
        <w:pStyle w:val="NormalWeb"/>
      </w:pPr>
      <w:r>
        <w:t>The technical feasibility assessment should identify which components can be sourced commercially, which require custom development and how the complete system could be manufactured within the available frame space and power budget.</w:t>
      </w:r>
    </w:p>
    <w:p w14:paraId="12C019DA" w14:textId="77777777" w:rsidR="00797670" w:rsidRDefault="00797670">
      <w:pPr>
        <w:pStyle w:val="NormalWeb"/>
      </w:pPr>
      <w:r>
        <w:rPr>
          <w:rStyle w:val="Strong"/>
          <w:u w:val="single"/>
        </w:rPr>
        <w:t>Signal Acquisition and Processing</w:t>
      </w:r>
    </w:p>
    <w:p w14:paraId="6EAC6DF9" w14:textId="77777777" w:rsidR="00797670" w:rsidRDefault="00797670">
      <w:pPr>
        <w:pStyle w:val="NormalWeb"/>
      </w:pPr>
      <w:r>
        <w:t>The proposed system would acquire simultaneous bioelectrical recordings from the selected cranial electrodes and, where used, additional reference or hand-contact channels.</w:t>
      </w:r>
    </w:p>
    <w:p w14:paraId="6803E8FC" w14:textId="77777777" w:rsidR="00797670" w:rsidRDefault="00797670">
      <w:pPr>
        <w:pStyle w:val="NormalWeb"/>
      </w:pPr>
      <w:r>
        <w:t>A reasonable research starting point is a sampling rate of 500 Hz or above, with investigation of the approximately 0.5–40 Hz range for EEG-related activity and suitable anti-alias filtering. Alpha activity around 8–12 Hz and beta activity around 13–30 Hz could be evaluated as potential features, without assuming these features alone are sufficiently distinctive for authentication.</w:t>
      </w:r>
    </w:p>
    <w:p w14:paraId="790DEB3A" w14:textId="77777777" w:rsidR="00797670" w:rsidRDefault="00797670">
      <w:pPr>
        <w:pStyle w:val="NormalWeb"/>
      </w:pPr>
      <w:r>
        <w:t>The proposed semi-blind source separation (sBSS) pipeline would be assessed as a method for estimating and reducing muscle-related interference, movement artefacts and contact noise.</w:t>
      </w:r>
    </w:p>
    <w:p w14:paraId="26060E8D" w14:textId="77777777" w:rsidR="00797670" w:rsidRDefault="00797670">
      <w:pPr>
        <w:pStyle w:val="NormalWeb"/>
      </w:pPr>
      <w:r>
        <w:t>The assessment should compare sBSS results with the unprocessed raw data and simpler filtering techniques. Motion-sensor data or suitable muscle-activity reference channels could be investigated as additional information to guide the processing.</w:t>
      </w:r>
    </w:p>
    <w:p w14:paraId="51690213" w14:textId="77777777" w:rsidR="00797670" w:rsidRDefault="00797670">
      <w:pPr>
        <w:pStyle w:val="NormalWeb"/>
      </w:pPr>
      <w:r>
        <w:t>Source separation cannot be assumed to recover reliable neural information if the underlying signal has not been captured adequately or the available channels do not provide sufficient information to distinguish the relevant sources.</w:t>
      </w:r>
    </w:p>
    <w:p w14:paraId="44817E59" w14:textId="77777777" w:rsidR="00797670" w:rsidRDefault="00797670">
      <w:pPr>
        <w:pStyle w:val="NormalWeb"/>
      </w:pPr>
      <w:r>
        <w:rPr>
          <w:rStyle w:val="Strong"/>
          <w:u w:val="single"/>
        </w:rPr>
        <w:t>Biometric Enrolment and Everyday Authentication</w:t>
      </w:r>
    </w:p>
    <w:p w14:paraId="36D9084E" w14:textId="77777777" w:rsidR="00797670" w:rsidRDefault="00797670">
      <w:pPr>
        <w:pStyle w:val="NormalWeb"/>
      </w:pPr>
      <w:r>
        <w:t>The proposed authentication process has two principal stages.</w:t>
      </w:r>
    </w:p>
    <w:p w14:paraId="3F20685C" w14:textId="77777777" w:rsidR="00797670" w:rsidRDefault="00797670">
      <w:pPr>
        <w:pStyle w:val="NormalWeb"/>
      </w:pPr>
      <w:r>
        <w:rPr>
          <w:rStyle w:val="Strong"/>
        </w:rPr>
        <w:t>Initial enrolment</w:t>
      </w:r>
    </w:p>
    <w:p w14:paraId="59506AF6" w14:textId="77777777" w:rsidR="00797670" w:rsidRDefault="00797670">
      <w:pPr>
        <w:pStyle w:val="NormalWeb"/>
      </w:pPr>
      <w:r>
        <w:t>The user first verifies their identity through an existing authentication method and then completes a series of bioelectrical recordings while wearing the glasses or performing the intended contact gesture.</w:t>
      </w:r>
    </w:p>
    <w:p w14:paraId="7D243B87" w14:textId="77777777" w:rsidR="00797670" w:rsidRDefault="00797670">
      <w:pPr>
        <w:pStyle w:val="NormalWeb"/>
      </w:pPr>
      <w:r>
        <w:t>The recordings would be used to assess signal quality, compare electrode configurations and investigate whether repeatable features can be extracted across multiple measurements. If testing supports it, these features could be used to generate an enrolled biometric template.</w:t>
      </w:r>
    </w:p>
    <w:p w14:paraId="720C93EA" w14:textId="77777777" w:rsidR="00797670" w:rsidRDefault="00797670">
      <w:pPr>
        <w:pStyle w:val="NormalWeb"/>
      </w:pPr>
      <w:r>
        <w:rPr>
          <w:rStyle w:val="Strong"/>
        </w:rPr>
        <w:t>Everyday authentication</w:t>
      </w:r>
    </w:p>
    <w:p w14:paraId="67936B2C" w14:textId="77777777" w:rsidR="00797670" w:rsidRDefault="00797670">
      <w:pPr>
        <w:pStyle w:val="NormalWeb"/>
      </w:pPr>
      <w:r>
        <w:t>The user subsequently wears the glasses or performs the designated authentication interaction. The system records the available signals, applies the selected filtering and sBSS pipeline, extracts relevant features and compares the resulting representation against the enrolled template.</w:t>
      </w:r>
    </w:p>
    <w:p w14:paraId="1D8357DE" w14:textId="77777777" w:rsidR="00797670" w:rsidRDefault="00797670">
      <w:pPr>
        <w:pStyle w:val="NormalWeb"/>
      </w:pPr>
      <w:r>
        <w:t>The objective is to investigate whether this could provide convenient access to protected smart-glasses functions without repeatedly requiring a PIN.</w:t>
      </w:r>
    </w:p>
    <w:p w14:paraId="52CEB42B" w14:textId="77777777" w:rsidR="00797670" w:rsidRDefault="00797670">
      <w:pPr>
        <w:pStyle w:val="NormalWeb"/>
      </w:pPr>
      <w:r>
        <w:t>The electrode configuration and processing pipeline used during authentication should be compatible with those used during enrolment. Reliable identification would need to be established through testing across repeated sessions and different users.</w:t>
      </w:r>
    </w:p>
    <w:p w14:paraId="5EE2AB43" w14:textId="77777777" w:rsidR="00797670" w:rsidRDefault="00797670">
      <w:pPr>
        <w:pStyle w:val="NormalWeb"/>
      </w:pPr>
      <w:r>
        <w:rPr>
          <w:rStyle w:val="Strong"/>
          <w:u w:val="single"/>
        </w:rPr>
        <w:t>Repeated Testing and Authentication Performance</w:t>
      </w:r>
    </w:p>
    <w:p w14:paraId="38D11AC8" w14:textId="77777777" w:rsidR="00797670" w:rsidRDefault="00797670">
      <w:pPr>
        <w:pStyle w:val="NormalWeb"/>
      </w:pPr>
      <w:r>
        <w:t>The engineering assessment should recommend a structured testing programme covering:</w:t>
      </w:r>
    </w:p>
    <w:p w14:paraId="48FD44A5" w14:textId="77777777" w:rsidR="00797670" w:rsidRDefault="00797670" w:rsidP="00797670">
      <w:pPr>
        <w:numPr>
          <w:ilvl w:val="0"/>
          <w:numId w:val="4"/>
        </w:numPr>
        <w:spacing w:before="100" w:beforeAutospacing="1" w:after="100" w:afterAutospacing="1" w:line="240" w:lineRule="auto"/>
        <w:rPr>
          <w:rFonts w:eastAsia="Times New Roman"/>
        </w:rPr>
      </w:pPr>
      <w:r>
        <w:rPr>
          <w:rFonts w:eastAsia="Times New Roman"/>
        </w:rPr>
        <w:t>Signal repeatability across multiple sessions</w:t>
      </w:r>
    </w:p>
    <w:p w14:paraId="373F4D8D" w14:textId="77777777" w:rsidR="00797670" w:rsidRDefault="00797670" w:rsidP="00797670">
      <w:pPr>
        <w:numPr>
          <w:ilvl w:val="0"/>
          <w:numId w:val="4"/>
        </w:numPr>
        <w:spacing w:before="100" w:beforeAutospacing="1" w:after="100" w:afterAutospacing="1" w:line="240" w:lineRule="auto"/>
        <w:rPr>
          <w:rFonts w:eastAsia="Times New Roman"/>
        </w:rPr>
      </w:pPr>
      <w:r>
        <w:rPr>
          <w:rFonts w:eastAsia="Times New Roman"/>
        </w:rPr>
        <w:t>Differences between cranial electrode positions</w:t>
      </w:r>
    </w:p>
    <w:p w14:paraId="128EEB60" w14:textId="77777777" w:rsidR="00797670" w:rsidRDefault="00797670" w:rsidP="00797670">
      <w:pPr>
        <w:numPr>
          <w:ilvl w:val="0"/>
          <w:numId w:val="4"/>
        </w:numPr>
        <w:spacing w:before="100" w:beforeAutospacing="1" w:after="100" w:afterAutospacing="1" w:line="240" w:lineRule="auto"/>
        <w:rPr>
          <w:rFonts w:eastAsia="Times New Roman"/>
        </w:rPr>
      </w:pPr>
      <w:r>
        <w:rPr>
          <w:rFonts w:eastAsia="Times New Roman"/>
        </w:rPr>
        <w:t>Differential measurements and alternative reference arrangements</w:t>
      </w:r>
    </w:p>
    <w:p w14:paraId="0FE86A7D" w14:textId="77777777" w:rsidR="00797670" w:rsidRDefault="00797670" w:rsidP="00797670">
      <w:pPr>
        <w:numPr>
          <w:ilvl w:val="0"/>
          <w:numId w:val="4"/>
        </w:numPr>
        <w:spacing w:before="100" w:beforeAutospacing="1" w:after="100" w:afterAutospacing="1" w:line="240" w:lineRule="auto"/>
        <w:rPr>
          <w:rFonts w:eastAsia="Times New Roman"/>
        </w:rPr>
      </w:pPr>
      <w:r>
        <w:rPr>
          <w:rFonts w:eastAsia="Times New Roman"/>
        </w:rPr>
        <w:t>The effect of nose-bridge contacts and temple-arm electrodes</w:t>
      </w:r>
    </w:p>
    <w:p w14:paraId="624A021E" w14:textId="77777777" w:rsidR="00797670" w:rsidRDefault="00797670" w:rsidP="00797670">
      <w:pPr>
        <w:numPr>
          <w:ilvl w:val="0"/>
          <w:numId w:val="4"/>
        </w:numPr>
        <w:spacing w:before="100" w:beforeAutospacing="1" w:after="100" w:afterAutospacing="1" w:line="240" w:lineRule="auto"/>
        <w:rPr>
          <w:rFonts w:eastAsia="Times New Roman"/>
        </w:rPr>
      </w:pPr>
      <w:r>
        <w:rPr>
          <w:rFonts w:eastAsia="Times New Roman"/>
        </w:rPr>
        <w:t>The contribution of optional hand or finger contact channels</w:t>
      </w:r>
    </w:p>
    <w:p w14:paraId="4C402864" w14:textId="77777777" w:rsidR="00797670" w:rsidRDefault="00797670" w:rsidP="00797670">
      <w:pPr>
        <w:numPr>
          <w:ilvl w:val="0"/>
          <w:numId w:val="4"/>
        </w:numPr>
        <w:spacing w:before="100" w:beforeAutospacing="1" w:after="100" w:afterAutospacing="1" w:line="240" w:lineRule="auto"/>
        <w:rPr>
          <w:rFonts w:eastAsia="Times New Roman"/>
        </w:rPr>
      </w:pPr>
      <w:r>
        <w:rPr>
          <w:rFonts w:eastAsia="Times New Roman"/>
        </w:rPr>
        <w:t>Interference from facial muscle activity, movement and changing contact pressure</w:t>
      </w:r>
    </w:p>
    <w:p w14:paraId="545A68F5" w14:textId="77777777" w:rsidR="00797670" w:rsidRDefault="00797670" w:rsidP="00797670">
      <w:pPr>
        <w:numPr>
          <w:ilvl w:val="0"/>
          <w:numId w:val="4"/>
        </w:numPr>
        <w:spacing w:before="100" w:beforeAutospacing="1" w:after="100" w:afterAutospacing="1" w:line="240" w:lineRule="auto"/>
        <w:rPr>
          <w:rFonts w:eastAsia="Times New Roman"/>
        </w:rPr>
      </w:pPr>
      <w:r>
        <w:rPr>
          <w:rFonts w:eastAsia="Times New Roman"/>
        </w:rPr>
        <w:t>The effectiveness of sBSS compared with simpler filtering</w:t>
      </w:r>
    </w:p>
    <w:p w14:paraId="2B7956AC" w14:textId="77777777" w:rsidR="00797670" w:rsidRDefault="00797670" w:rsidP="00797670">
      <w:pPr>
        <w:numPr>
          <w:ilvl w:val="0"/>
          <w:numId w:val="4"/>
        </w:numPr>
        <w:spacing w:before="100" w:beforeAutospacing="1" w:after="100" w:afterAutospacing="1" w:line="240" w:lineRule="auto"/>
        <w:rPr>
          <w:rFonts w:eastAsia="Times New Roman"/>
        </w:rPr>
      </w:pPr>
      <w:r>
        <w:rPr>
          <w:rFonts w:eastAsia="Times New Roman"/>
        </w:rPr>
        <w:t>Repeatability of features used for enrolment and matching</w:t>
      </w:r>
    </w:p>
    <w:p w14:paraId="68FECBE4" w14:textId="77777777" w:rsidR="00797670" w:rsidRDefault="00797670" w:rsidP="00797670">
      <w:pPr>
        <w:numPr>
          <w:ilvl w:val="0"/>
          <w:numId w:val="4"/>
        </w:numPr>
        <w:spacing w:before="100" w:beforeAutospacing="1" w:after="100" w:afterAutospacing="1" w:line="240" w:lineRule="auto"/>
        <w:rPr>
          <w:rFonts w:eastAsia="Times New Roman"/>
        </w:rPr>
      </w:pPr>
      <w:r>
        <w:rPr>
          <w:rFonts w:eastAsia="Times New Roman"/>
        </w:rPr>
        <w:t>False acceptance and false rejection rates</w:t>
      </w:r>
    </w:p>
    <w:p w14:paraId="11E0C7A4" w14:textId="77777777" w:rsidR="00797670" w:rsidRDefault="00797670" w:rsidP="00797670">
      <w:pPr>
        <w:numPr>
          <w:ilvl w:val="0"/>
          <w:numId w:val="4"/>
        </w:numPr>
        <w:spacing w:before="100" w:beforeAutospacing="1" w:after="100" w:afterAutospacing="1" w:line="240" w:lineRule="auto"/>
        <w:rPr>
          <w:rFonts w:eastAsia="Times New Roman"/>
        </w:rPr>
      </w:pPr>
      <w:r>
        <w:rPr>
          <w:rFonts w:eastAsia="Times New Roman"/>
        </w:rPr>
        <w:t>Resistance to spoofing and presentation attacks</w:t>
      </w:r>
    </w:p>
    <w:p w14:paraId="7757A1F0" w14:textId="77777777" w:rsidR="00797670" w:rsidRDefault="00797670" w:rsidP="00797670">
      <w:pPr>
        <w:numPr>
          <w:ilvl w:val="0"/>
          <w:numId w:val="4"/>
        </w:numPr>
        <w:spacing w:before="100" w:beforeAutospacing="1" w:after="100" w:afterAutospacing="1" w:line="240" w:lineRule="auto"/>
        <w:rPr>
          <w:rFonts w:eastAsia="Times New Roman"/>
        </w:rPr>
      </w:pPr>
      <w:r>
        <w:rPr>
          <w:rFonts w:eastAsia="Times New Roman"/>
        </w:rPr>
        <w:t>Battery consumption, processing time, wearer comfort and frame integration</w:t>
      </w:r>
    </w:p>
    <w:p w14:paraId="77EC5956" w14:textId="77777777" w:rsidR="00797670" w:rsidRDefault="00797670">
      <w:pPr>
        <w:pStyle w:val="NormalWeb"/>
      </w:pPr>
      <w:r>
        <w:t>The purpose is to establish whether the recorded signals contain sufficiently consistent and distinctive features for biometric authentication rather than merely demonstrating that bioelectrical activity can be measured.</w:t>
      </w:r>
    </w:p>
    <w:p w14:paraId="412C40B0" w14:textId="77777777" w:rsidR="00797670" w:rsidRDefault="00797670">
      <w:pPr>
        <w:pStyle w:val="NormalWeb"/>
      </w:pPr>
      <w:r>
        <w:rPr>
          <w:rStyle w:val="Strong"/>
          <w:u w:val="single"/>
        </w:rPr>
        <w:t>Potential Applications</w:t>
      </w:r>
    </w:p>
    <w:p w14:paraId="59BA70EF" w14:textId="77777777" w:rsidR="00797670" w:rsidRDefault="00797670">
      <w:pPr>
        <w:pStyle w:val="NormalWeb"/>
      </w:pPr>
      <w:r>
        <w:t>The proposed technology may have potential applications in:</w:t>
      </w:r>
    </w:p>
    <w:p w14:paraId="608B6839" w14:textId="77777777" w:rsidR="00797670" w:rsidRDefault="00797670" w:rsidP="00797670">
      <w:pPr>
        <w:numPr>
          <w:ilvl w:val="0"/>
          <w:numId w:val="5"/>
        </w:numPr>
        <w:spacing w:before="100" w:beforeAutospacing="1" w:after="100" w:afterAutospacing="1" w:line="240" w:lineRule="auto"/>
        <w:rPr>
          <w:rFonts w:eastAsia="Times New Roman"/>
        </w:rPr>
      </w:pPr>
      <w:r>
        <w:rPr>
          <w:rFonts w:eastAsia="Times New Roman"/>
        </w:rPr>
        <w:t>Smart-glasses unlocking and user authentication</w:t>
      </w:r>
    </w:p>
    <w:p w14:paraId="5F2A4605" w14:textId="77777777" w:rsidR="00797670" w:rsidRDefault="00797670" w:rsidP="00797670">
      <w:pPr>
        <w:numPr>
          <w:ilvl w:val="0"/>
          <w:numId w:val="5"/>
        </w:numPr>
        <w:spacing w:before="100" w:beforeAutospacing="1" w:after="100" w:afterAutospacing="1" w:line="240" w:lineRule="auto"/>
        <w:rPr>
          <w:rFonts w:eastAsia="Times New Roman"/>
        </w:rPr>
      </w:pPr>
      <w:r>
        <w:rPr>
          <w:rFonts w:eastAsia="Times New Roman"/>
        </w:rPr>
        <w:t>Secure wearable computing</w:t>
      </w:r>
    </w:p>
    <w:p w14:paraId="73CD1C8F" w14:textId="77777777" w:rsidR="00797670" w:rsidRDefault="00797670" w:rsidP="00797670">
      <w:pPr>
        <w:numPr>
          <w:ilvl w:val="0"/>
          <w:numId w:val="5"/>
        </w:numPr>
        <w:spacing w:before="100" w:beforeAutospacing="1" w:after="100" w:afterAutospacing="1" w:line="240" w:lineRule="auto"/>
        <w:rPr>
          <w:rFonts w:eastAsia="Times New Roman"/>
        </w:rPr>
      </w:pPr>
      <w:r>
        <w:rPr>
          <w:rFonts w:eastAsia="Times New Roman"/>
        </w:rPr>
        <w:t>Hands-free access to protected eyewear functions</w:t>
      </w:r>
    </w:p>
    <w:p w14:paraId="1ECD85A0" w14:textId="77777777" w:rsidR="00797670" w:rsidRDefault="00797670" w:rsidP="00797670">
      <w:pPr>
        <w:numPr>
          <w:ilvl w:val="0"/>
          <w:numId w:val="5"/>
        </w:numPr>
        <w:spacing w:before="100" w:beforeAutospacing="1" w:after="100" w:afterAutospacing="1" w:line="240" w:lineRule="auto"/>
        <w:rPr>
          <w:rFonts w:eastAsia="Times New Roman"/>
        </w:rPr>
      </w:pPr>
      <w:r>
        <w:rPr>
          <w:rFonts w:eastAsia="Times New Roman"/>
        </w:rPr>
        <w:t>Enterprise smart-glasses security</w:t>
      </w:r>
    </w:p>
    <w:p w14:paraId="4D8BFF59" w14:textId="77777777" w:rsidR="00797670" w:rsidRDefault="00797670" w:rsidP="00797670">
      <w:pPr>
        <w:numPr>
          <w:ilvl w:val="0"/>
          <w:numId w:val="5"/>
        </w:numPr>
        <w:spacing w:before="100" w:beforeAutospacing="1" w:after="100" w:afterAutospacing="1" w:line="240" w:lineRule="auto"/>
        <w:rPr>
          <w:rFonts w:eastAsia="Times New Roman"/>
        </w:rPr>
      </w:pPr>
      <w:r>
        <w:rPr>
          <w:rFonts w:eastAsia="Times New Roman"/>
        </w:rPr>
        <w:t>Secure wearable communications</w:t>
      </w:r>
    </w:p>
    <w:p w14:paraId="0ECFEA54" w14:textId="77777777" w:rsidR="00797670" w:rsidRDefault="00797670" w:rsidP="00797670">
      <w:pPr>
        <w:numPr>
          <w:ilvl w:val="0"/>
          <w:numId w:val="5"/>
        </w:numPr>
        <w:spacing w:before="100" w:beforeAutospacing="1" w:after="100" w:afterAutospacing="1" w:line="240" w:lineRule="auto"/>
        <w:rPr>
          <w:rFonts w:eastAsia="Times New Roman"/>
        </w:rPr>
      </w:pPr>
      <w:r>
        <w:rPr>
          <w:rFonts w:eastAsia="Times New Roman"/>
        </w:rPr>
        <w:t>Personal identity verification</w:t>
      </w:r>
    </w:p>
    <w:p w14:paraId="595D48B1" w14:textId="77777777" w:rsidR="00797670" w:rsidRDefault="00797670" w:rsidP="00797670">
      <w:pPr>
        <w:numPr>
          <w:ilvl w:val="0"/>
          <w:numId w:val="5"/>
        </w:numPr>
        <w:spacing w:before="100" w:beforeAutospacing="1" w:after="100" w:afterAutospacing="1" w:line="240" w:lineRule="auto"/>
        <w:rPr>
          <w:rFonts w:eastAsia="Times New Roman"/>
        </w:rPr>
      </w:pPr>
      <w:r>
        <w:rPr>
          <w:rFonts w:eastAsia="Times New Roman"/>
        </w:rPr>
        <w:t>Biometric access control</w:t>
      </w:r>
    </w:p>
    <w:p w14:paraId="6ABAA6A2" w14:textId="77777777" w:rsidR="00797670" w:rsidRDefault="00797670" w:rsidP="00797670">
      <w:pPr>
        <w:numPr>
          <w:ilvl w:val="0"/>
          <w:numId w:val="5"/>
        </w:numPr>
        <w:spacing w:before="100" w:beforeAutospacing="1" w:after="100" w:afterAutospacing="1" w:line="240" w:lineRule="auto"/>
        <w:rPr>
          <w:rFonts w:eastAsia="Times New Roman"/>
        </w:rPr>
      </w:pPr>
      <w:r>
        <w:rPr>
          <w:rFonts w:eastAsia="Times New Roman"/>
        </w:rPr>
        <w:t>Privacy-focused wearable authentication</w:t>
      </w:r>
    </w:p>
    <w:p w14:paraId="15978A1E" w14:textId="77777777" w:rsidR="00797670" w:rsidRDefault="00797670" w:rsidP="00797670">
      <w:pPr>
        <w:numPr>
          <w:ilvl w:val="0"/>
          <w:numId w:val="5"/>
        </w:numPr>
        <w:spacing w:before="100" w:beforeAutospacing="1" w:after="100" w:afterAutospacing="1" w:line="240" w:lineRule="auto"/>
        <w:rPr>
          <w:rFonts w:eastAsia="Times New Roman"/>
        </w:rPr>
      </w:pPr>
      <w:r>
        <w:rPr>
          <w:rFonts w:eastAsia="Times New Roman"/>
        </w:rPr>
        <w:t>Wearable cybersecurity and multi-factor authentication</w:t>
      </w:r>
    </w:p>
    <w:p w14:paraId="719A5EA3" w14:textId="77777777" w:rsidR="00797670" w:rsidRDefault="00797670">
      <w:pPr>
        <w:pStyle w:val="NormalWeb"/>
      </w:pPr>
      <w:r>
        <w:t>These are potential applications rather than established commercial deployments.</w:t>
      </w:r>
    </w:p>
    <w:p w14:paraId="4A2D86D4" w14:textId="77777777" w:rsidR="00797670" w:rsidRDefault="00797670">
      <w:pPr>
        <w:pStyle w:val="NormalWeb"/>
      </w:pPr>
      <w:r>
        <w:rPr>
          <w:rStyle w:val="Strong"/>
          <w:u w:val="single"/>
        </w:rPr>
        <w:t>Potential Manufacturing and Tier-1 Supplier Opportunities</w:t>
      </w:r>
    </w:p>
    <w:p w14:paraId="4F9A5758" w14:textId="77777777" w:rsidR="00797670" w:rsidRDefault="00797670">
      <w:pPr>
        <w:pStyle w:val="NormalWeb"/>
      </w:pPr>
      <w:r>
        <w:t>The technology may be relevant to companies specialising in:</w:t>
      </w:r>
    </w:p>
    <w:p w14:paraId="6F15AD1F" w14:textId="77777777" w:rsidR="00797670" w:rsidRDefault="00797670" w:rsidP="00797670">
      <w:pPr>
        <w:numPr>
          <w:ilvl w:val="0"/>
          <w:numId w:val="6"/>
        </w:numPr>
        <w:spacing w:before="100" w:beforeAutospacing="1" w:after="100" w:afterAutospacing="1" w:line="240" w:lineRule="auto"/>
        <w:rPr>
          <w:rFonts w:eastAsia="Times New Roman"/>
        </w:rPr>
      </w:pPr>
      <w:r>
        <w:rPr>
          <w:rFonts w:eastAsia="Times New Roman"/>
        </w:rPr>
        <w:t>Smart-glasses frames and optical components</w:t>
      </w:r>
    </w:p>
    <w:p w14:paraId="2D9F7C84" w14:textId="77777777" w:rsidR="00797670" w:rsidRDefault="00797670" w:rsidP="00797670">
      <w:pPr>
        <w:numPr>
          <w:ilvl w:val="0"/>
          <w:numId w:val="6"/>
        </w:numPr>
        <w:spacing w:before="100" w:beforeAutospacing="1" w:after="100" w:afterAutospacing="1" w:line="240" w:lineRule="auto"/>
        <w:rPr>
          <w:rFonts w:eastAsia="Times New Roman"/>
        </w:rPr>
      </w:pPr>
      <w:r>
        <w:rPr>
          <w:rFonts w:eastAsia="Times New Roman"/>
        </w:rPr>
        <w:t>Transparent conductive films and coatings</w:t>
      </w:r>
    </w:p>
    <w:p w14:paraId="5A78B057" w14:textId="77777777" w:rsidR="00797670" w:rsidRDefault="00797670" w:rsidP="00797670">
      <w:pPr>
        <w:numPr>
          <w:ilvl w:val="0"/>
          <w:numId w:val="6"/>
        </w:numPr>
        <w:spacing w:before="100" w:beforeAutospacing="1" w:after="100" w:afterAutospacing="1" w:line="240" w:lineRule="auto"/>
        <w:rPr>
          <w:rFonts w:eastAsia="Times New Roman"/>
        </w:rPr>
      </w:pPr>
      <w:r>
        <w:rPr>
          <w:rFonts w:eastAsia="Times New Roman"/>
        </w:rPr>
        <w:t>Miniaturised bioelectrical acquisition electronics</w:t>
      </w:r>
    </w:p>
    <w:p w14:paraId="6311D205" w14:textId="77777777" w:rsidR="00797670" w:rsidRDefault="00797670" w:rsidP="00797670">
      <w:pPr>
        <w:numPr>
          <w:ilvl w:val="0"/>
          <w:numId w:val="6"/>
        </w:numPr>
        <w:spacing w:before="100" w:beforeAutospacing="1" w:after="100" w:afterAutospacing="1" w:line="240" w:lineRule="auto"/>
        <w:rPr>
          <w:rFonts w:eastAsia="Times New Roman"/>
        </w:rPr>
      </w:pPr>
      <w:r>
        <w:rPr>
          <w:rFonts w:eastAsia="Times New Roman"/>
        </w:rPr>
        <w:t>Low-noise amplifiers and semiconductor components</w:t>
      </w:r>
    </w:p>
    <w:p w14:paraId="3DB2F08B" w14:textId="77777777" w:rsidR="00797670" w:rsidRDefault="00797670" w:rsidP="00797670">
      <w:pPr>
        <w:numPr>
          <w:ilvl w:val="0"/>
          <w:numId w:val="6"/>
        </w:numPr>
        <w:spacing w:before="100" w:beforeAutospacing="1" w:after="100" w:afterAutospacing="1" w:line="240" w:lineRule="auto"/>
        <w:rPr>
          <w:rFonts w:eastAsia="Times New Roman"/>
        </w:rPr>
      </w:pPr>
      <w:r>
        <w:rPr>
          <w:rFonts w:eastAsia="Times New Roman"/>
        </w:rPr>
        <w:t>Embedded processing and secure hardware</w:t>
      </w:r>
    </w:p>
    <w:p w14:paraId="14C2DF76" w14:textId="77777777" w:rsidR="00797670" w:rsidRDefault="00797670" w:rsidP="00797670">
      <w:pPr>
        <w:numPr>
          <w:ilvl w:val="0"/>
          <w:numId w:val="6"/>
        </w:numPr>
        <w:spacing w:before="100" w:beforeAutospacing="1" w:after="100" w:afterAutospacing="1" w:line="240" w:lineRule="auto"/>
        <w:rPr>
          <w:rFonts w:eastAsia="Times New Roman"/>
        </w:rPr>
      </w:pPr>
      <w:r>
        <w:rPr>
          <w:rFonts w:eastAsia="Times New Roman"/>
        </w:rPr>
        <w:t>Wearable-device manufacturing</w:t>
      </w:r>
    </w:p>
    <w:p w14:paraId="130378FA" w14:textId="77777777" w:rsidR="00797670" w:rsidRDefault="00797670" w:rsidP="00797670">
      <w:pPr>
        <w:numPr>
          <w:ilvl w:val="0"/>
          <w:numId w:val="6"/>
        </w:numPr>
        <w:spacing w:before="100" w:beforeAutospacing="1" w:after="100" w:afterAutospacing="1" w:line="240" w:lineRule="auto"/>
        <w:rPr>
          <w:rFonts w:eastAsia="Times New Roman"/>
        </w:rPr>
      </w:pPr>
      <w:r>
        <w:rPr>
          <w:rFonts w:eastAsia="Times New Roman"/>
        </w:rPr>
        <w:t>Biometric authentication and cybersecurity</w:t>
      </w:r>
    </w:p>
    <w:p w14:paraId="0744D0C3" w14:textId="77777777" w:rsidR="00797670" w:rsidRDefault="00797670">
      <w:pPr>
        <w:pStyle w:val="NormalWeb"/>
      </w:pPr>
      <w:r>
        <w:t>Potential commercial contacts could include smart-glasses manufacturers, eyewear component suppliers, optical materials companies and semiconductor or wearable-electronics manufacturers with relevant capabilities.</w:t>
      </w:r>
    </w:p>
    <w:p w14:paraId="76097651" w14:textId="77777777" w:rsidR="00797670" w:rsidRDefault="00797670">
      <w:pPr>
        <w:pStyle w:val="NormalWeb"/>
      </w:pPr>
      <w:r>
        <w:t>Any specific company would need to be assessed for suitability. No interest, endorsement, partnership or agreement is implied.</w:t>
      </w:r>
    </w:p>
    <w:p w14:paraId="640D0B71" w14:textId="77777777" w:rsidR="00797670" w:rsidRDefault="00797670">
      <w:pPr>
        <w:pStyle w:val="NormalWeb"/>
      </w:pPr>
      <w:r>
        <w:rPr>
          <w:rStyle w:val="Strong"/>
          <w:u w:val="single"/>
        </w:rPr>
        <w:t>Commercial Market Potential</w:t>
      </w:r>
    </w:p>
    <w:p w14:paraId="637CDE37" w14:textId="77777777" w:rsidR="00797670" w:rsidRDefault="00797670">
      <w:pPr>
        <w:pStyle w:val="NormalWeb"/>
      </w:pPr>
      <w:r>
        <w:t>Potential target markets include smart-glasses manufacturing, wearable electronics, optical components, biometric identity verification, cybersecurity, enterprise technology and secure wearable computing.</w:t>
      </w:r>
    </w:p>
    <w:p w14:paraId="4865E0F6" w14:textId="77777777" w:rsidR="00797670" w:rsidRDefault="00797670">
      <w:pPr>
        <w:pStyle w:val="NormalWeb"/>
      </w:pPr>
      <w:r>
        <w:t>The commercial proposition is based on the possibility of integrating cranial bioelectrical sensing, dedicated signal acquisition electronics and local biometric processing into the physical structure of smart glasses.</w:t>
      </w:r>
    </w:p>
    <w:p w14:paraId="07741650" w14:textId="77777777" w:rsidR="00797670" w:rsidRDefault="00797670">
      <w:pPr>
        <w:pStyle w:val="NormalWeb"/>
      </w:pPr>
      <w:r>
        <w:t>Potential commercial routes include an outright patent sale, licensing, joint development or integration into an existing smart-glasses platform, subject to the scope of the patent rights, technical feasibility and any relevant third-party intellectual property.</w:t>
      </w:r>
    </w:p>
    <w:p w14:paraId="0B889F7B" w14:textId="77777777" w:rsidR="00797670" w:rsidRDefault="00797670">
      <w:pPr>
        <w:pStyle w:val="NormalWeb"/>
      </w:pPr>
      <w:r>
        <w:rPr>
          <w:rStyle w:val="Strong"/>
          <w:u w:val="single"/>
        </w:rPr>
        <w:t>Why the Patent Could Be Commercially Relevant</w:t>
      </w:r>
    </w:p>
    <w:p w14:paraId="135AEFCD" w14:textId="77777777" w:rsidR="00797670" w:rsidRDefault="00797670">
      <w:pPr>
        <w:pStyle w:val="NormalWeb"/>
      </w:pPr>
      <w:r>
        <w:t>The proposed architecture combines:</w:t>
      </w:r>
    </w:p>
    <w:p w14:paraId="22AE5534" w14:textId="77777777" w:rsidR="00797670" w:rsidRDefault="00797670" w:rsidP="00797670">
      <w:pPr>
        <w:numPr>
          <w:ilvl w:val="0"/>
          <w:numId w:val="7"/>
        </w:numPr>
        <w:spacing w:before="100" w:beforeAutospacing="1" w:after="100" w:afterAutospacing="1" w:line="240" w:lineRule="auto"/>
        <w:rPr>
          <w:rFonts w:eastAsia="Times New Roman"/>
        </w:rPr>
      </w:pPr>
      <w:r>
        <w:rPr>
          <w:rFonts w:eastAsia="Times New Roman"/>
        </w:rPr>
        <w:t>Cranial electrodes integrated into a wearable eyewear frame</w:t>
      </w:r>
    </w:p>
    <w:p w14:paraId="15077B8B" w14:textId="77777777" w:rsidR="00797670" w:rsidRDefault="00797670" w:rsidP="00797670">
      <w:pPr>
        <w:numPr>
          <w:ilvl w:val="0"/>
          <w:numId w:val="7"/>
        </w:numPr>
        <w:spacing w:before="100" w:beforeAutospacing="1" w:after="100" w:afterAutospacing="1" w:line="240" w:lineRule="auto"/>
        <w:rPr>
          <w:rFonts w:eastAsia="Times New Roman"/>
        </w:rPr>
      </w:pPr>
      <w:r>
        <w:rPr>
          <w:rFonts w:eastAsia="Times New Roman"/>
        </w:rPr>
        <w:t>Potential four-channel cranial acquisition and differential measurement</w:t>
      </w:r>
    </w:p>
    <w:p w14:paraId="5B1B3A31" w14:textId="77777777" w:rsidR="00797670" w:rsidRDefault="00797670" w:rsidP="00797670">
      <w:pPr>
        <w:numPr>
          <w:ilvl w:val="0"/>
          <w:numId w:val="7"/>
        </w:numPr>
        <w:spacing w:before="100" w:beforeAutospacing="1" w:after="100" w:afterAutospacing="1" w:line="240" w:lineRule="auto"/>
        <w:rPr>
          <w:rFonts w:eastAsia="Times New Roman"/>
        </w:rPr>
      </w:pPr>
      <w:r>
        <w:rPr>
          <w:rFonts w:eastAsia="Times New Roman"/>
        </w:rPr>
        <w:t>Optional additional reference or hand-contact channels</w:t>
      </w:r>
    </w:p>
    <w:p w14:paraId="3E945A91" w14:textId="77777777" w:rsidR="00797670" w:rsidRDefault="00797670" w:rsidP="00797670">
      <w:pPr>
        <w:numPr>
          <w:ilvl w:val="0"/>
          <w:numId w:val="7"/>
        </w:numPr>
        <w:spacing w:before="100" w:beforeAutospacing="1" w:after="100" w:afterAutospacing="1" w:line="240" w:lineRule="auto"/>
        <w:rPr>
          <w:rFonts w:eastAsia="Times New Roman"/>
        </w:rPr>
      </w:pPr>
      <w:r>
        <w:rPr>
          <w:rFonts w:eastAsia="Times New Roman"/>
        </w:rPr>
        <w:t>A dedicated low-noise amplifier positioned near the electrodes</w:t>
      </w:r>
    </w:p>
    <w:p w14:paraId="5C6354AD" w14:textId="77777777" w:rsidR="00797670" w:rsidRDefault="00797670" w:rsidP="00797670">
      <w:pPr>
        <w:numPr>
          <w:ilvl w:val="0"/>
          <w:numId w:val="7"/>
        </w:numPr>
        <w:spacing w:before="100" w:beforeAutospacing="1" w:after="100" w:afterAutospacing="1" w:line="240" w:lineRule="auto"/>
        <w:rPr>
          <w:rFonts w:eastAsia="Times New Roman"/>
        </w:rPr>
      </w:pPr>
      <w:r>
        <w:rPr>
          <w:rFonts w:eastAsia="Times New Roman"/>
        </w:rPr>
        <w:t>Proposed sBSS-based signal processing</w:t>
      </w:r>
    </w:p>
    <w:p w14:paraId="69B44F2E" w14:textId="77777777" w:rsidR="00797670" w:rsidRDefault="00797670" w:rsidP="00797670">
      <w:pPr>
        <w:numPr>
          <w:ilvl w:val="0"/>
          <w:numId w:val="7"/>
        </w:numPr>
        <w:spacing w:before="100" w:beforeAutospacing="1" w:after="100" w:afterAutospacing="1" w:line="240" w:lineRule="auto"/>
        <w:rPr>
          <w:rFonts w:eastAsia="Times New Roman"/>
        </w:rPr>
      </w:pPr>
      <w:r>
        <w:rPr>
          <w:rFonts w:eastAsia="Times New Roman"/>
        </w:rPr>
        <w:t>Biometric enrolment and subsequent template matching</w:t>
      </w:r>
    </w:p>
    <w:p w14:paraId="454E8BDA" w14:textId="77777777" w:rsidR="00797670" w:rsidRDefault="00797670" w:rsidP="00797670">
      <w:pPr>
        <w:numPr>
          <w:ilvl w:val="0"/>
          <w:numId w:val="7"/>
        </w:numPr>
        <w:spacing w:before="100" w:beforeAutospacing="1" w:after="100" w:afterAutospacing="1" w:line="240" w:lineRule="auto"/>
        <w:rPr>
          <w:rFonts w:eastAsia="Times New Roman"/>
        </w:rPr>
      </w:pPr>
      <w:r>
        <w:rPr>
          <w:rFonts w:eastAsia="Times New Roman"/>
        </w:rPr>
        <w:t>Local authentication and secure handling of biometric data</w:t>
      </w:r>
    </w:p>
    <w:p w14:paraId="7157F280" w14:textId="77777777" w:rsidR="00797670" w:rsidRDefault="00797670">
      <w:pPr>
        <w:pStyle w:val="NormalWeb"/>
      </w:pPr>
      <w:r>
        <w:t>For a suitable manufacturer or technology company, this concept may provide a basis for investigating an alternative authentication method designed specifically for smart glasses.</w:t>
      </w:r>
    </w:p>
    <w:p w14:paraId="55FEFD34" w14:textId="77777777" w:rsidR="00797670" w:rsidRDefault="00797670">
      <w:pPr>
        <w:pStyle w:val="NormalWeb"/>
      </w:pPr>
      <w:r>
        <w:rPr>
          <w:rStyle w:val="Strong"/>
          <w:u w:val="single"/>
        </w:rPr>
        <w:t>Supporting Technical Package</w:t>
      </w:r>
    </w:p>
    <w:p w14:paraId="32449287" w14:textId="77777777" w:rsidR="00797670" w:rsidRDefault="00797670">
      <w:pPr>
        <w:pStyle w:val="NormalWeb"/>
      </w:pPr>
      <w:r>
        <w:t>The supporting package includes the patent application documentation and a technical description of the proposed smart-glasses architecture, electrode configurations, amplifier requirements, signal acquisition, processing pipeline and biometric authentication method.</w:t>
      </w:r>
    </w:p>
    <w:p w14:paraId="0BB60855" w14:textId="77777777" w:rsidR="00797670" w:rsidRDefault="00797670">
      <w:pPr>
        <w:pStyle w:val="NormalWeb"/>
      </w:pPr>
      <w:r>
        <w:t>A technical feasibility assessment is being sought from a suitable engineering firm. A prototype development quotation and estimated development timeframe are also to be confirmed and can then be added to the supporting package.</w:t>
      </w:r>
    </w:p>
    <w:p w14:paraId="616A5CB3" w14:textId="77777777" w:rsidR="00797670" w:rsidRDefault="00797670">
      <w:pPr>
        <w:pStyle w:val="NormalWeb"/>
      </w:pPr>
      <w:r>
        <w:t>The requested engineering assessment should identify recommended components, electrode placement, circuit architecture, development risks, testing requirements, expected costs and a realistic prototype development schedule.</w:t>
      </w:r>
    </w:p>
    <w:p w14:paraId="4873253B" w14:textId="77777777" w:rsidR="00797670" w:rsidRDefault="00797670">
      <w:pPr>
        <w:pStyle w:val="NormalWeb"/>
      </w:pPr>
      <w:r>
        <w:rPr>
          <w:rStyle w:val="Strong"/>
          <w:u w:val="single"/>
        </w:rPr>
        <w:t>Important Development Considerations</w:t>
      </w:r>
    </w:p>
    <w:p w14:paraId="046818FC" w14:textId="77777777" w:rsidR="00797670" w:rsidRDefault="00797670">
      <w:pPr>
        <w:pStyle w:val="NormalWeb"/>
      </w:pPr>
      <w:r>
        <w:t>The proposed system requires further engineering assessment and testing. Important considerations include electrode contact quality, channel configuration, signal-to-noise ratio, amplifier placement, movement artefacts, source separation, authentication accuracy, spoofing resistance, power consumption and practical integration into a wearable frame.</w:t>
      </w:r>
    </w:p>
    <w:p w14:paraId="28933924" w14:textId="77777777" w:rsidR="00797670" w:rsidRDefault="00797670">
      <w:pPr>
        <w:pStyle w:val="NormalWeb"/>
      </w:pPr>
      <w:r>
        <w:t>The use of an ADS1299-class component, transparent conductive materials or established manufacturing processes does not by itself demonstrate that the complete system will work as intended. Component selection, electrical safety, wearer comfort and the suitability of the proposed signal-processing methods must be assessed.</w:t>
      </w:r>
    </w:p>
    <w:p w14:paraId="3303D965" w14:textId="77777777" w:rsidR="00797670" w:rsidRDefault="00797670">
      <w:pPr>
        <w:pStyle w:val="NormalWeb"/>
      </w:pPr>
      <w:r>
        <w:t>The commercial proposition therefore concerns a proposed smart-glasses authentication technology and product roadmap rather than a fully validated, commercially deployed product.</w:t>
      </w:r>
    </w:p>
    <w:p w14:paraId="35B7BDD3" w14:textId="77777777" w:rsidR="00797670" w:rsidRDefault="00797670">
      <w:pPr>
        <w:pStyle w:val="NormalWeb"/>
      </w:pPr>
      <w:r>
        <w:rPr>
          <w:rStyle w:val="Strong"/>
          <w:u w:val="single"/>
        </w:rPr>
        <w:t>Expected Increase in Patent Sale Price</w:t>
      </w:r>
    </w:p>
    <w:p w14:paraId="64FA2217" w14:textId="77777777" w:rsidR="00797670" w:rsidRDefault="00797670">
      <w:pPr>
        <w:pStyle w:val="NormalWeb"/>
      </w:pPr>
      <w:r>
        <w:t>Once the technical feasibility assessment has been completed by the selected engineering firm and the prototype development quotation and estimated timeframe have been confirmed, the patent's asking price can be reassessed.</w:t>
      </w:r>
    </w:p>
    <w:p w14:paraId="6AFAAF69" w14:textId="77777777" w:rsidR="00797670" w:rsidRDefault="00797670">
      <w:pPr>
        <w:pStyle w:val="NormalWeb"/>
      </w:pPr>
      <w:r>
        <w:t>A completed assessment and confirmed prototype costs could strengthen the supporting technical package, clarify the development requirements and help prospective buyers or licensees evaluate the commercial potential of Telivra AI. Any increase in sale price would depend on the assessment findings, the strength and scope of the patent rights, market interest and the terms offered by potential buyers.</w:t>
      </w:r>
    </w:p>
    <w:p w14:paraId="2E282DEE" w14:textId="77777777" w:rsidR="00797670" w:rsidRDefault="00797670">
      <w:pPr>
        <w:pStyle w:val="NormalWeb"/>
      </w:pPr>
      <w:r>
        <w:rPr>
          <w:rStyle w:val="Strong"/>
          <w:u w:val="single"/>
        </w:rPr>
        <w:t>Commercial Objective</w:t>
      </w:r>
    </w:p>
    <w:p w14:paraId="5676D4C2" w14:textId="77777777" w:rsidR="00797670" w:rsidRDefault="00797670">
      <w:pPr>
        <w:pStyle w:val="NormalWeb"/>
      </w:pPr>
      <w:r>
        <w:t>The objective is to identify potential buyers, licensees, manufacturing partners and technology companies interested in evaluating or integrating the proposed bioelectrical authentication system into smart glasses and wearable computing platforms.</w:t>
      </w:r>
    </w:p>
    <w:p w14:paraId="27CCF364" w14:textId="77777777" w:rsidR="00797670" w:rsidRDefault="00797670">
      <w:pPr>
        <w:pStyle w:val="NormalWeb"/>
      </w:pPr>
      <w:r>
        <w:rPr>
          <w:rStyle w:val="Strong"/>
        </w:rPr>
        <w:t>Preferred commercial outcomes:</w:t>
      </w:r>
      <w:r>
        <w:t xml:space="preserve"> Outright patent sale, licensing agreement or structured development partnership.</w:t>
      </w:r>
    </w:p>
    <w:p w14:paraId="1858456A" w14:textId="77777777" w:rsidR="00E62B26" w:rsidRPr="00E62B26" w:rsidRDefault="00E62B26" w:rsidP="00E62B26"/>
    <w:sectPr w:rsidR="00E62B26" w:rsidRPr="00E62B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roman"/>
    <w:notTrueType/>
    <w:pitch w:val="default"/>
  </w:font>
  <w:font w:name="Roboto">
    <w:panose1 w:val="02000000000000000000"/>
    <w:charset w:val="00"/>
    <w:family w:val="auto"/>
    <w:pitch w:val="variable"/>
    <w:sig w:usb0="E00002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A466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E6109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C87AE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7A6CE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5F61A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90578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42442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4664655">
    <w:abstractNumId w:val="2"/>
  </w:num>
  <w:num w:numId="2" w16cid:durableId="37095157">
    <w:abstractNumId w:val="0"/>
  </w:num>
  <w:num w:numId="3" w16cid:durableId="1741757557">
    <w:abstractNumId w:val="3"/>
  </w:num>
  <w:num w:numId="4" w16cid:durableId="1213342465">
    <w:abstractNumId w:val="5"/>
  </w:num>
  <w:num w:numId="5" w16cid:durableId="118913073">
    <w:abstractNumId w:val="1"/>
  </w:num>
  <w:num w:numId="6" w16cid:durableId="231936720">
    <w:abstractNumId w:val="4"/>
  </w:num>
  <w:num w:numId="7" w16cid:durableId="14585304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B26"/>
    <w:rsid w:val="000F0929"/>
    <w:rsid w:val="00602EFA"/>
    <w:rsid w:val="006B7408"/>
    <w:rsid w:val="00797670"/>
    <w:rsid w:val="00917082"/>
    <w:rsid w:val="00E12177"/>
    <w:rsid w:val="00E62B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BCB4BF3"/>
  <w15:chartTrackingRefBased/>
  <w15:docId w15:val="{31A9ADA0-454A-DB4C-8D09-AF9753D2F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2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2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2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2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2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2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2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2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2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2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2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2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2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2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2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2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2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2B26"/>
    <w:rPr>
      <w:rFonts w:eastAsiaTheme="majorEastAsia" w:cstheme="majorBidi"/>
      <w:color w:val="272727" w:themeColor="text1" w:themeTint="D8"/>
    </w:rPr>
  </w:style>
  <w:style w:type="paragraph" w:styleId="Title">
    <w:name w:val="Title"/>
    <w:basedOn w:val="Normal"/>
    <w:next w:val="Normal"/>
    <w:link w:val="TitleChar"/>
    <w:uiPriority w:val="10"/>
    <w:qFormat/>
    <w:rsid w:val="00E62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2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2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2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2B26"/>
    <w:pPr>
      <w:spacing w:before="160"/>
      <w:jc w:val="center"/>
    </w:pPr>
    <w:rPr>
      <w:i/>
      <w:iCs/>
      <w:color w:val="404040" w:themeColor="text1" w:themeTint="BF"/>
    </w:rPr>
  </w:style>
  <w:style w:type="character" w:customStyle="1" w:styleId="QuoteChar">
    <w:name w:val="Quote Char"/>
    <w:basedOn w:val="DefaultParagraphFont"/>
    <w:link w:val="Quote"/>
    <w:uiPriority w:val="29"/>
    <w:rsid w:val="00E62B26"/>
    <w:rPr>
      <w:i/>
      <w:iCs/>
      <w:color w:val="404040" w:themeColor="text1" w:themeTint="BF"/>
    </w:rPr>
  </w:style>
  <w:style w:type="paragraph" w:styleId="ListParagraph">
    <w:name w:val="List Paragraph"/>
    <w:basedOn w:val="Normal"/>
    <w:uiPriority w:val="34"/>
    <w:qFormat/>
    <w:rsid w:val="00E62B26"/>
    <w:pPr>
      <w:ind w:left="720"/>
      <w:contextualSpacing/>
    </w:pPr>
  </w:style>
  <w:style w:type="character" w:styleId="IntenseEmphasis">
    <w:name w:val="Intense Emphasis"/>
    <w:basedOn w:val="DefaultParagraphFont"/>
    <w:uiPriority w:val="21"/>
    <w:qFormat/>
    <w:rsid w:val="00E62B26"/>
    <w:rPr>
      <w:i/>
      <w:iCs/>
      <w:color w:val="0F4761" w:themeColor="accent1" w:themeShade="BF"/>
    </w:rPr>
  </w:style>
  <w:style w:type="paragraph" w:styleId="IntenseQuote">
    <w:name w:val="Intense Quote"/>
    <w:basedOn w:val="Normal"/>
    <w:next w:val="Normal"/>
    <w:link w:val="IntenseQuoteChar"/>
    <w:uiPriority w:val="30"/>
    <w:qFormat/>
    <w:rsid w:val="00E62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2B26"/>
    <w:rPr>
      <w:i/>
      <w:iCs/>
      <w:color w:val="0F4761" w:themeColor="accent1" w:themeShade="BF"/>
    </w:rPr>
  </w:style>
  <w:style w:type="character" w:styleId="IntenseReference">
    <w:name w:val="Intense Reference"/>
    <w:basedOn w:val="DefaultParagraphFont"/>
    <w:uiPriority w:val="32"/>
    <w:qFormat/>
    <w:rsid w:val="00E62B26"/>
    <w:rPr>
      <w:b/>
      <w:bCs/>
      <w:smallCaps/>
      <w:color w:val="0F4761" w:themeColor="accent1" w:themeShade="BF"/>
      <w:spacing w:val="5"/>
    </w:rPr>
  </w:style>
  <w:style w:type="paragraph" w:styleId="NormalWeb">
    <w:name w:val="Normal (Web)"/>
    <w:basedOn w:val="Normal"/>
    <w:uiPriority w:val="99"/>
    <w:semiHidden/>
    <w:unhideWhenUsed/>
    <w:rsid w:val="00797670"/>
    <w:pPr>
      <w:spacing w:before="100" w:beforeAutospacing="1" w:after="100" w:afterAutospacing="1" w:line="240" w:lineRule="auto"/>
    </w:pPr>
    <w:rPr>
      <w:rFonts w:ascii="Times New Roman" w:hAnsi="Times New Roman" w:cs="Times New Roman"/>
      <w:kern w:val="0"/>
      <w14:ligatures w14:val="none"/>
    </w:rPr>
  </w:style>
  <w:style w:type="character" w:styleId="Strong">
    <w:name w:val="Strong"/>
    <w:basedOn w:val="DefaultParagraphFont"/>
    <w:uiPriority w:val="22"/>
    <w:qFormat/>
    <w:rsid w:val="007976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2538</Words>
  <Characters>14469</Characters>
  <Application>Microsoft Office Word</Application>
  <DocSecurity>0</DocSecurity>
  <Lines>120</Lines>
  <Paragraphs>33</Paragraphs>
  <ScaleCrop>false</ScaleCrop>
  <Company/>
  <LinksUpToDate>false</LinksUpToDate>
  <CharactersWithSpaces>16974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 Wendwesen</dc:creator>
  <cp:keywords/>
  <dc:description/>
  <cp:lastModifiedBy>Brook Wendwesen</cp:lastModifiedBy>
  <cp:revision>2</cp:revision>
  <dcterms:created xsi:type="dcterms:W3CDTF">2026-10-29T18:05:00Z</dcterms:created>
  <dcterms:modified xsi:type="dcterms:W3CDTF">2026-10-29T18:05:00Z</dcterms:modified>
</cp:coreProperties>
</file>