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0D6DC" w14:textId="77777777" w:rsidR="00BC398B" w:rsidRDefault="00BC398B">
      <w:pPr>
        <w:pStyle w:val="NormalWeb"/>
      </w:pPr>
      <w:r>
        <w:rPr>
          <w:rStyle w:val="Strong"/>
          <w:u w:val="single"/>
        </w:rPr>
        <w:t>SYNAVEX AI</w:t>
      </w:r>
    </w:p>
    <w:p w14:paraId="71EF827F" w14:textId="77777777" w:rsidR="00BC398B" w:rsidRDefault="00BC398B">
      <w:pPr>
        <w:pStyle w:val="NormalWeb"/>
      </w:pPr>
      <w:r>
        <w:rPr>
          <w:rStyle w:val="Strong"/>
          <w:u w:val="single"/>
        </w:rPr>
        <w:t>Handheld Transient Bioelectrical Authentication Technology</w:t>
      </w:r>
    </w:p>
    <w:p w14:paraId="0C6E3FDF" w14:textId="77777777" w:rsidR="00BC398B" w:rsidRDefault="00BC398B">
      <w:pPr>
        <w:pStyle w:val="NormalWeb"/>
      </w:pPr>
      <w:r>
        <w:rPr>
          <w:rStyle w:val="Strong"/>
          <w:u w:val="single"/>
        </w:rPr>
        <w:t>Technology:</w:t>
      </w:r>
      <w:r>
        <w:t xml:space="preserve"> Synavex AI – Handheld Brain-Related Bioelectrical Authentication</w:t>
      </w:r>
    </w:p>
    <w:p w14:paraId="7C94F98B" w14:textId="77777777" w:rsidR="00BC398B" w:rsidRDefault="00BC398B">
      <w:pPr>
        <w:pStyle w:val="NormalWeb"/>
      </w:pPr>
      <w:r>
        <w:rPr>
          <w:rStyle w:val="Strong"/>
          <w:u w:val="single"/>
        </w:rPr>
        <w:t>Field:</w:t>
      </w:r>
      <w:r>
        <w:t xml:space="preserve"> Smartphone security, biometric authentication, bioelectrical sensing and cybersecurity</w:t>
      </w:r>
    </w:p>
    <w:p w14:paraId="7A3637CA" w14:textId="77777777" w:rsidR="00BC398B" w:rsidRDefault="00BC398B">
      <w:pPr>
        <w:pStyle w:val="NormalWeb"/>
      </w:pPr>
      <w:r>
        <w:rPr>
          <w:rStyle w:val="Strong"/>
          <w:u w:val="single"/>
        </w:rPr>
        <w:t>Patent Status:</w:t>
      </w:r>
      <w:r>
        <w:t xml:space="preserve"> Filed.</w:t>
      </w:r>
    </w:p>
    <w:p w14:paraId="0D07289D" w14:textId="77777777" w:rsidR="00BC398B" w:rsidRDefault="00BC398B">
      <w:pPr>
        <w:pStyle w:val="NormalWeb"/>
      </w:pPr>
      <w:r>
        <w:rPr>
          <w:rStyle w:val="Strong"/>
          <w:u w:val="single"/>
        </w:rPr>
        <w:t>UK Patent Application Number:</w:t>
      </w:r>
      <w:r>
        <w:t xml:space="preserve"> GB2623434.4</w:t>
      </w:r>
    </w:p>
    <w:p w14:paraId="6AF7E053" w14:textId="77777777" w:rsidR="008464CB" w:rsidRDefault="008464CB">
      <w:pPr>
        <w:rPr>
          <w:rFonts w:ascii="Roboto" w:eastAsia="Times New Roman" w:hAnsi="Roboto"/>
          <w:kern w:val="0"/>
          <w14:ligatures w14:val="none"/>
        </w:rPr>
      </w:pPr>
      <w:r>
        <w:rPr>
          <w:rFonts w:ascii="Roboto" w:eastAsia="Times New Roman" w:hAnsi="Roboto"/>
        </w:rPr>
        <w:t>GLOBAL EXPANSION &amp; PRIORITY TIMELINE</w:t>
      </w:r>
    </w:p>
    <w:p w14:paraId="4265D227" w14:textId="26B754BF" w:rsidR="008464CB" w:rsidRDefault="008464CB">
      <w:pPr>
        <w:rPr>
          <w:rFonts w:ascii="Roboto" w:eastAsia="Times New Roman" w:hAnsi="Roboto"/>
        </w:rPr>
      </w:pPr>
      <w:r>
        <w:rPr>
          <w:rFonts w:ascii="Roboto" w:eastAsia="Times New Roman" w:hAnsi="Roboto"/>
        </w:rPr>
        <w:t>(This technology portfolio was officially filed on 6th October 2026. The 12-month international priority window under the Paris Convention is currently wide open, with a final deadline of 6th October 2027. This provides an acquiring entity or corporate partner with the immediate legal right to expand the patent globally—including direct filings with the USPTO (United States), JPO (Japan), EPO (Europe), and global PCT applications—while locking the legal priority date back to the original October 2026 timestamp to secure the asset as a global monopoly).</w:t>
      </w:r>
    </w:p>
    <w:p w14:paraId="66ADB59F" w14:textId="77777777" w:rsidR="00BC398B" w:rsidRDefault="00BC398B">
      <w:pPr>
        <w:pStyle w:val="NormalWeb"/>
      </w:pPr>
      <w:r>
        <w:rPr>
          <w:rStyle w:val="Strong"/>
          <w:u w:val="single"/>
        </w:rPr>
        <w:t>Technology Overview</w:t>
      </w:r>
    </w:p>
    <w:p w14:paraId="311D8382" w14:textId="77777777" w:rsidR="00BC398B" w:rsidRDefault="00BC398B">
      <w:pPr>
        <w:pStyle w:val="NormalWeb"/>
      </w:pPr>
      <w:r>
        <w:t>Synavex AI is a proposed handheld biometric authentication technology designed to verify a user's identity through bioelectrical signals acquired during a brief touch interaction with a computational device.</w:t>
      </w:r>
    </w:p>
    <w:p w14:paraId="544AD789" w14:textId="77777777" w:rsidR="00BC398B" w:rsidRDefault="00BC398B">
      <w:pPr>
        <w:pStyle w:val="NormalWeb"/>
      </w:pPr>
      <w:r>
        <w:t>The concept is intended to integrate cranial sensing electrodes, conductive hand-contact areas, low-noise signal acquisition electronics and onboard processing into a handheld device. The user would briefly bring a designated sensing area of the device into contact with the forehead or temple while holding the device through its conductive contact area.</w:t>
      </w:r>
    </w:p>
    <w:p w14:paraId="563B7D48" w14:textId="77777777" w:rsidR="00BC398B" w:rsidRDefault="00BC398B">
      <w:pPr>
        <w:pStyle w:val="NormalWeb"/>
      </w:pPr>
      <w:r>
        <w:t>The proposed authentication process would capture bioelectrical signals, process them to reduce interference, extract relevant features and compare them against a previously enrolled biometric template stored locally within the device.</w:t>
      </w:r>
    </w:p>
    <w:p w14:paraId="43421D2E" w14:textId="77777777" w:rsidR="00BC398B" w:rsidRDefault="00BC398B">
      <w:pPr>
        <w:pStyle w:val="NormalWeb"/>
      </w:pPr>
      <w:r>
        <w:t>The intended product direction is to investigate whether brain-related bioelectrical characteristics could provide an additional method of device authentication without requiring a separate EEG headband or earbuds.</w:t>
      </w:r>
    </w:p>
    <w:p w14:paraId="5A66485F" w14:textId="77777777" w:rsidR="00BC398B" w:rsidRDefault="00BC398B">
      <w:pPr>
        <w:pStyle w:val="NormalWeb"/>
      </w:pPr>
      <w:r>
        <w:rPr>
          <w:rStyle w:val="Strong"/>
          <w:u w:val="single"/>
        </w:rPr>
        <w:t>Technical Architecture</w:t>
      </w:r>
    </w:p>
    <w:p w14:paraId="20F35C79" w14:textId="77777777" w:rsidR="00BC398B" w:rsidRDefault="00BC398B">
      <w:pPr>
        <w:pStyle w:val="NormalWeb"/>
      </w:pPr>
      <w:r>
        <w:t>The proposed system combines the following hardware and software components:</w:t>
      </w:r>
    </w:p>
    <w:p w14:paraId="332F6061" w14:textId="77777777" w:rsidR="00BC398B" w:rsidRDefault="00BC398B" w:rsidP="00BC398B">
      <w:pPr>
        <w:numPr>
          <w:ilvl w:val="0"/>
          <w:numId w:val="1"/>
        </w:numPr>
        <w:spacing w:before="100" w:beforeAutospacing="1" w:after="100" w:afterAutospacing="1" w:line="240" w:lineRule="auto"/>
        <w:rPr>
          <w:rFonts w:eastAsia="Times New Roman"/>
        </w:rPr>
      </w:pPr>
      <w:r>
        <w:rPr>
          <w:rStyle w:val="Strong"/>
          <w:rFonts w:eastAsia="Times New Roman"/>
        </w:rPr>
        <w:t>Cranial electrode configuration:</w:t>
      </w:r>
      <w:r>
        <w:rPr>
          <w:rFonts w:eastAsia="Times New Roman"/>
        </w:rPr>
        <w:t xml:space="preserve"> A carefully designed, skin-compatible dry electrode intended to contact the forehead or temple. Gold-plated or Ag/AgCl-compatible contact designs could be evaluated, with a compliant, flexible or spring-loaded mechanism investigated to help maintain consistent contact pressure.</w:t>
      </w:r>
    </w:p>
    <w:p w14:paraId="3B913B96" w14:textId="77777777" w:rsidR="00BC398B" w:rsidRDefault="00BC398B" w:rsidP="00BC398B">
      <w:pPr>
        <w:numPr>
          <w:ilvl w:val="0"/>
          <w:numId w:val="1"/>
        </w:numPr>
        <w:spacing w:before="100" w:beforeAutospacing="1" w:after="100" w:afterAutospacing="1" w:line="240" w:lineRule="auto"/>
        <w:rPr>
          <w:rFonts w:eastAsia="Times New Roman"/>
        </w:rPr>
      </w:pPr>
      <w:r>
        <w:rPr>
          <w:rStyle w:val="Strong"/>
          <w:rFonts w:eastAsia="Times New Roman"/>
        </w:rPr>
        <w:t>Four cranial electrodes:</w:t>
      </w:r>
      <w:r>
        <w:rPr>
          <w:rFonts w:eastAsia="Times New Roman"/>
        </w:rPr>
        <w:t xml:space="preserve"> A preferred experimental configuration comprising four forehead electrodes to collect multiple simultaneous measurements and potentially provide additional spatial information for distinguishing signal sources.</w:t>
      </w:r>
    </w:p>
    <w:p w14:paraId="4DA7B4DF" w14:textId="77777777" w:rsidR="00BC398B" w:rsidRDefault="00BC398B" w:rsidP="00BC398B">
      <w:pPr>
        <w:numPr>
          <w:ilvl w:val="0"/>
          <w:numId w:val="1"/>
        </w:numPr>
        <w:spacing w:before="100" w:beforeAutospacing="1" w:after="100" w:afterAutospacing="1" w:line="240" w:lineRule="auto"/>
        <w:rPr>
          <w:rFonts w:eastAsia="Times New Roman"/>
        </w:rPr>
      </w:pPr>
      <w:r>
        <w:rPr>
          <w:rStyle w:val="Strong"/>
          <w:rFonts w:eastAsia="Times New Roman"/>
        </w:rPr>
        <w:t>Two hand-contact electrodes:</w:t>
      </w:r>
      <w:r>
        <w:rPr>
          <w:rFonts w:eastAsia="Times New Roman"/>
        </w:rPr>
        <w:t xml:space="preserve"> Two conductive hand-contact electrodes integrated into the device's gripping or housing areas. These could be evaluated as additional measurement or reference channels alongside the cranial electrodes.</w:t>
      </w:r>
    </w:p>
    <w:p w14:paraId="35D29E83" w14:textId="77777777" w:rsidR="00BC398B" w:rsidRDefault="00BC398B" w:rsidP="00BC398B">
      <w:pPr>
        <w:numPr>
          <w:ilvl w:val="0"/>
          <w:numId w:val="1"/>
        </w:numPr>
        <w:spacing w:before="100" w:beforeAutospacing="1" w:after="100" w:afterAutospacing="1" w:line="240" w:lineRule="auto"/>
        <w:rPr>
          <w:rFonts w:eastAsia="Times New Roman"/>
        </w:rPr>
      </w:pPr>
      <w:r>
        <w:rPr>
          <w:rStyle w:val="Strong"/>
          <w:rFonts w:eastAsia="Times New Roman"/>
        </w:rPr>
        <w:t>Low-noise amplifier module:</w:t>
      </w:r>
      <w:r>
        <w:rPr>
          <w:rFonts w:eastAsia="Times New Roman"/>
        </w:rPr>
        <w:t xml:space="preserve"> A dedicated, high-input-impedance bioelectrical analogue front end positioned close to the cranial electrodes. This is a required element of the proposed engineering design, intended to preserve weak signals before digitisation.</w:t>
      </w:r>
    </w:p>
    <w:p w14:paraId="6C17D6B6" w14:textId="77777777" w:rsidR="00BC398B" w:rsidRDefault="00BC398B" w:rsidP="00BC398B">
      <w:pPr>
        <w:numPr>
          <w:ilvl w:val="0"/>
          <w:numId w:val="1"/>
        </w:numPr>
        <w:spacing w:before="100" w:beforeAutospacing="1" w:after="100" w:afterAutospacing="1" w:line="240" w:lineRule="auto"/>
        <w:rPr>
          <w:rFonts w:eastAsia="Times New Roman"/>
        </w:rPr>
      </w:pPr>
      <w:r>
        <w:rPr>
          <w:rStyle w:val="Strong"/>
          <w:rFonts w:eastAsia="Times New Roman"/>
        </w:rPr>
        <w:t>Analogue-to-digital conversion:</w:t>
      </w:r>
      <w:r>
        <w:rPr>
          <w:rFonts w:eastAsia="Times New Roman"/>
        </w:rPr>
        <w:t xml:space="preserve"> A high-resolution ADC and suitable anti-alias filtering to capture the acquired signals for digital processing.</w:t>
      </w:r>
    </w:p>
    <w:p w14:paraId="6994FD20" w14:textId="77777777" w:rsidR="00BC398B" w:rsidRDefault="00BC398B" w:rsidP="00BC398B">
      <w:pPr>
        <w:numPr>
          <w:ilvl w:val="0"/>
          <w:numId w:val="1"/>
        </w:numPr>
        <w:spacing w:before="100" w:beforeAutospacing="1" w:after="100" w:afterAutospacing="1" w:line="240" w:lineRule="auto"/>
        <w:rPr>
          <w:rFonts w:eastAsia="Times New Roman"/>
        </w:rPr>
      </w:pPr>
      <w:r>
        <w:rPr>
          <w:rStyle w:val="Strong"/>
          <w:rFonts w:eastAsia="Times New Roman"/>
        </w:rPr>
        <w:t>Transparent conductive materials:</w:t>
      </w:r>
      <w:r>
        <w:rPr>
          <w:rFonts w:eastAsia="Times New Roman"/>
        </w:rPr>
        <w:t xml:space="preserve"> Potential use of indium tin oxide (ITO), graphene, silver nanowires or conductive polymers in suitable transparent sensing surfaces, subject to electrical and mechanical feasibility.</w:t>
      </w:r>
    </w:p>
    <w:p w14:paraId="13BF9BF4" w14:textId="77777777" w:rsidR="00BC398B" w:rsidRDefault="00BC398B" w:rsidP="00BC398B">
      <w:pPr>
        <w:numPr>
          <w:ilvl w:val="0"/>
          <w:numId w:val="1"/>
        </w:numPr>
        <w:spacing w:before="100" w:beforeAutospacing="1" w:after="100" w:afterAutospacing="1" w:line="240" w:lineRule="auto"/>
        <w:rPr>
          <w:rFonts w:eastAsia="Times New Roman"/>
        </w:rPr>
      </w:pPr>
      <w:r>
        <w:rPr>
          <w:rStyle w:val="Strong"/>
          <w:rFonts w:eastAsia="Times New Roman"/>
        </w:rPr>
        <w:t>Onboard signal processing:</w:t>
      </w:r>
      <w:r>
        <w:rPr>
          <w:rFonts w:eastAsia="Times New Roman"/>
        </w:rPr>
        <w:t xml:space="preserve"> A processor running digital filtering, feature extraction and the proposed semi-blind source separation (sBSS) pipeline.</w:t>
      </w:r>
    </w:p>
    <w:p w14:paraId="38CEA5A0" w14:textId="77777777" w:rsidR="00BC398B" w:rsidRDefault="00BC398B" w:rsidP="00BC398B">
      <w:pPr>
        <w:numPr>
          <w:ilvl w:val="0"/>
          <w:numId w:val="1"/>
        </w:numPr>
        <w:spacing w:before="100" w:beforeAutospacing="1" w:after="100" w:afterAutospacing="1" w:line="240" w:lineRule="auto"/>
        <w:rPr>
          <w:rFonts w:eastAsia="Times New Roman"/>
        </w:rPr>
      </w:pPr>
      <w:r>
        <w:rPr>
          <w:rStyle w:val="Strong"/>
          <w:rFonts w:eastAsia="Times New Roman"/>
        </w:rPr>
        <w:t>Local biometric security:</w:t>
      </w:r>
      <w:r>
        <w:rPr>
          <w:rFonts w:eastAsia="Times New Roman"/>
        </w:rPr>
        <w:t xml:space="preserve"> A local authentication module and secure storage architecture intended to retain enrolled biometric templates and perform verification without requiring transmission of raw bioelectrical signals to a remote server.</w:t>
      </w:r>
    </w:p>
    <w:p w14:paraId="6AB4B7A0" w14:textId="77777777" w:rsidR="00BC398B" w:rsidRDefault="00BC398B">
      <w:pPr>
        <w:pStyle w:val="NormalWeb"/>
      </w:pPr>
      <w:r>
        <w:rPr>
          <w:rStyle w:val="Strong"/>
          <w:u w:val="single"/>
        </w:rPr>
        <w:t>Electrode Configuration and Signal Acquisition</w:t>
      </w:r>
    </w:p>
    <w:p w14:paraId="31F5606C" w14:textId="77777777" w:rsidR="00BC398B" w:rsidRDefault="00BC398B">
      <w:pPr>
        <w:pStyle w:val="NormalWeb"/>
      </w:pPr>
      <w:r>
        <w:t>One of the principal engineering configurations to investigate is a six-electrode arrangement comprising four cranial electrodes positioned across the forehead and two hand-contact electrodes integrated into the handheld device.</w:t>
      </w:r>
    </w:p>
    <w:p w14:paraId="2D80ED45" w14:textId="77777777" w:rsidR="00BC398B" w:rsidRDefault="00BC398B">
      <w:pPr>
        <w:pStyle w:val="NormalWeb"/>
      </w:pPr>
      <w:r>
        <w:t>The four cranial electrodes could support differential measurements between selected electrode pairs, allowing the engineering team to compare different recording arrangements and assess whether multiple cranial channels provide useful information about the acquired signals.</w:t>
      </w:r>
    </w:p>
    <w:p w14:paraId="461B4855" w14:textId="77777777" w:rsidR="00BC398B" w:rsidRDefault="00BC398B">
      <w:pPr>
        <w:pStyle w:val="NormalWeb"/>
      </w:pPr>
      <w:r>
        <w:t>The two hand-contact electrodes could be evaluated as additional reference or measurement channels. Their suitability for this role must be established experimentally rather than assumed.</w:t>
      </w:r>
    </w:p>
    <w:p w14:paraId="1FB2BDAC" w14:textId="77777777" w:rsidR="00BC398B" w:rsidRDefault="00BC398B">
      <w:pPr>
        <w:pStyle w:val="NormalWeb"/>
      </w:pPr>
      <w:r>
        <w:t>The assessment should compare the proposed hand-to-head arrangement against differential measurements between nearby cranial electrodes. This would help determine which electrode configurations provide the most consistent raw data and whether the hand contacts improve, or instead introduce additional interference into, the measurement process.</w:t>
      </w:r>
    </w:p>
    <w:p w14:paraId="27232C54" w14:textId="77777777" w:rsidR="00BC398B" w:rsidRDefault="00BC398B">
      <w:pPr>
        <w:pStyle w:val="NormalWeb"/>
      </w:pPr>
      <w:r>
        <w:t>The electrode layout, contact materials, electrical isolation, input impedance, skin-contact pressure and channel configuration should be assessed as part of the engineering design.</w:t>
      </w:r>
    </w:p>
    <w:p w14:paraId="0B6858E0" w14:textId="77777777" w:rsidR="00BC398B" w:rsidRDefault="00BC398B">
      <w:pPr>
        <w:pStyle w:val="NormalWeb"/>
      </w:pPr>
      <w:r>
        <w:rPr>
          <w:rStyle w:val="Strong"/>
          <w:u w:val="single"/>
        </w:rPr>
        <w:t>Low-Noise Amplifier and Electronic Architecture</w:t>
      </w:r>
    </w:p>
    <w:p w14:paraId="3D26525B" w14:textId="77777777" w:rsidR="00BC398B" w:rsidRDefault="00BC398B">
      <w:pPr>
        <w:pStyle w:val="NormalWeb"/>
      </w:pPr>
      <w:r>
        <w:t>A low-noise bioelectrical amplifier positioned close to the forehead electrodes is a mandatory design consideration.</w:t>
      </w:r>
    </w:p>
    <w:p w14:paraId="023243C1" w14:textId="77777777" w:rsidR="00BC398B" w:rsidRDefault="00BC398B">
      <w:pPr>
        <w:pStyle w:val="NormalWeb"/>
      </w:pPr>
      <w:r>
        <w:t>The proposed architecture should investigate a high-input-impedance biopotential analogue front end with strong common-mode noise rejection, appropriate input protection, suitable analogue filtering and high-resolution digitisation. The sensitive analogue signal path should be kept short and carefully laid out or shielded to minimise interference from ordinary smartphone electronics, displays, processors and power circuitry.</w:t>
      </w:r>
    </w:p>
    <w:p w14:paraId="5D5DFCA8" w14:textId="198FF136" w:rsidR="00BC398B" w:rsidRDefault="00BC398B">
      <w:pPr>
        <w:pStyle w:val="NormalWeb"/>
      </w:pPr>
      <w:r>
        <w:t>A commercially available</w:t>
      </w:r>
      <w:r w:rsidR="00671136">
        <w:t xml:space="preserve"> and in use</w:t>
      </w:r>
      <w:r>
        <w:t xml:space="preserve"> component such as the Texas Instruments ADS1299 may be evaluated as a candidate biosensing front end, subject to verification of its suitability for the proposed electrode configuration, channel requirements, power budget and product integration.</w:t>
      </w:r>
    </w:p>
    <w:p w14:paraId="79B2A60D" w14:textId="77777777" w:rsidR="00BC398B" w:rsidRDefault="00BC398B">
      <w:pPr>
        <w:pStyle w:val="NormalWeb"/>
      </w:pPr>
      <w:r>
        <w:t>The engineering assessment should distinguish between the use of established electronic components and the additional engineering required to integrate them into a handheld device.</w:t>
      </w:r>
    </w:p>
    <w:p w14:paraId="55993C94" w14:textId="77777777" w:rsidR="00BC398B" w:rsidRDefault="00BC398B">
      <w:pPr>
        <w:pStyle w:val="NormalWeb"/>
      </w:pPr>
      <w:r>
        <w:rPr>
          <w:rStyle w:val="Strong"/>
          <w:u w:val="single"/>
        </w:rPr>
        <w:t>Potential Manufacturing Approach</w:t>
      </w:r>
    </w:p>
    <w:p w14:paraId="72B5DD58" w14:textId="77777777" w:rsidR="00BC398B" w:rsidRDefault="00BC398B">
      <w:pPr>
        <w:pStyle w:val="NormalWeb"/>
      </w:pPr>
      <w:r>
        <w:t>The proposed system is intended to investigate the use of commercially available electronic components and established manufacturing processes wherever practical.</w:t>
      </w:r>
    </w:p>
    <w:p w14:paraId="45F9622B" w14:textId="77777777" w:rsidR="00BC398B" w:rsidRDefault="00BC398B">
      <w:pPr>
        <w:pStyle w:val="NormalWeb"/>
      </w:pPr>
      <w:r>
        <w:t>Potential elements include:</w:t>
      </w:r>
    </w:p>
    <w:p w14:paraId="0B37E65D" w14:textId="77777777" w:rsidR="00BC398B" w:rsidRDefault="00BC398B" w:rsidP="00BC398B">
      <w:pPr>
        <w:numPr>
          <w:ilvl w:val="0"/>
          <w:numId w:val="2"/>
        </w:numPr>
        <w:spacing w:before="100" w:beforeAutospacing="1" w:after="100" w:afterAutospacing="1" w:line="240" w:lineRule="auto"/>
        <w:rPr>
          <w:rFonts w:eastAsia="Times New Roman"/>
        </w:rPr>
      </w:pPr>
      <w:r>
        <w:rPr>
          <w:rFonts w:eastAsia="Times New Roman"/>
        </w:rPr>
        <w:t>Commercially available bioelectrical acquisition components and amplifier circuitry</w:t>
      </w:r>
    </w:p>
    <w:p w14:paraId="7A8D2FFC" w14:textId="77777777" w:rsidR="00BC398B" w:rsidRDefault="00BC398B" w:rsidP="00BC398B">
      <w:pPr>
        <w:numPr>
          <w:ilvl w:val="0"/>
          <w:numId w:val="2"/>
        </w:numPr>
        <w:spacing w:before="100" w:beforeAutospacing="1" w:after="100" w:afterAutospacing="1" w:line="240" w:lineRule="auto"/>
        <w:rPr>
          <w:rFonts w:eastAsia="Times New Roman"/>
        </w:rPr>
      </w:pPr>
      <w:r>
        <w:rPr>
          <w:rFonts w:eastAsia="Times New Roman"/>
        </w:rPr>
        <w:t>Standard PCB assembly and embedded processing</w:t>
      </w:r>
    </w:p>
    <w:p w14:paraId="1576CB37" w14:textId="77777777" w:rsidR="00BC398B" w:rsidRDefault="00BC398B" w:rsidP="00BC398B">
      <w:pPr>
        <w:numPr>
          <w:ilvl w:val="0"/>
          <w:numId w:val="2"/>
        </w:numPr>
        <w:spacing w:before="100" w:beforeAutospacing="1" w:after="100" w:afterAutospacing="1" w:line="240" w:lineRule="auto"/>
        <w:rPr>
          <w:rFonts w:eastAsia="Times New Roman"/>
        </w:rPr>
      </w:pPr>
      <w:r>
        <w:rPr>
          <w:rFonts w:eastAsia="Times New Roman"/>
        </w:rPr>
        <w:t>Transparent conductive coatings, including ITO, where suitable for the sensing interface</w:t>
      </w:r>
    </w:p>
    <w:p w14:paraId="095EA96B" w14:textId="77777777" w:rsidR="00BC398B" w:rsidRDefault="00BC398B" w:rsidP="00BC398B">
      <w:pPr>
        <w:numPr>
          <w:ilvl w:val="0"/>
          <w:numId w:val="2"/>
        </w:numPr>
        <w:spacing w:before="100" w:beforeAutospacing="1" w:after="100" w:afterAutospacing="1" w:line="240" w:lineRule="auto"/>
        <w:rPr>
          <w:rFonts w:eastAsia="Times New Roman"/>
        </w:rPr>
      </w:pPr>
      <w:r>
        <w:rPr>
          <w:rFonts w:eastAsia="Times New Roman"/>
        </w:rPr>
        <w:t>Custom-designed electrode contacts and mechanical housing features</w:t>
      </w:r>
    </w:p>
    <w:p w14:paraId="0F961656" w14:textId="77777777" w:rsidR="00BC398B" w:rsidRDefault="00BC398B" w:rsidP="00BC398B">
      <w:pPr>
        <w:numPr>
          <w:ilvl w:val="0"/>
          <w:numId w:val="2"/>
        </w:numPr>
        <w:spacing w:before="100" w:beforeAutospacing="1" w:after="100" w:afterAutospacing="1" w:line="240" w:lineRule="auto"/>
        <w:rPr>
          <w:rFonts w:eastAsia="Times New Roman"/>
        </w:rPr>
      </w:pPr>
      <w:r>
        <w:rPr>
          <w:rFonts w:eastAsia="Times New Roman"/>
        </w:rPr>
        <w:t>Conventional analogue and digital signal-processing components</w:t>
      </w:r>
    </w:p>
    <w:p w14:paraId="0BE39805" w14:textId="77777777" w:rsidR="00BC398B" w:rsidRDefault="00BC398B" w:rsidP="00BC398B">
      <w:pPr>
        <w:numPr>
          <w:ilvl w:val="0"/>
          <w:numId w:val="2"/>
        </w:numPr>
        <w:spacing w:before="100" w:beforeAutospacing="1" w:after="100" w:afterAutospacing="1" w:line="240" w:lineRule="auto"/>
        <w:rPr>
          <w:rFonts w:eastAsia="Times New Roman"/>
        </w:rPr>
      </w:pPr>
      <w:r>
        <w:rPr>
          <w:rFonts w:eastAsia="Times New Roman"/>
        </w:rPr>
        <w:t>Local secure processing and biometric storage</w:t>
      </w:r>
    </w:p>
    <w:p w14:paraId="354BA2D4" w14:textId="276AD1F2" w:rsidR="00BC398B" w:rsidRDefault="00BC398B">
      <w:pPr>
        <w:pStyle w:val="NormalWeb"/>
      </w:pPr>
      <w:r>
        <w:t>ITO is already used in transparent electronic applications.</w:t>
      </w:r>
    </w:p>
    <w:p w14:paraId="31B25C88" w14:textId="77777777" w:rsidR="00BC398B" w:rsidRDefault="00BC398B">
      <w:pPr>
        <w:pStyle w:val="NormalWeb"/>
      </w:pPr>
      <w:r>
        <w:t>The objective of a technical feasibility report would be to identify which parts can use commercially available components and established manufacturing processes, which require custom engineering and what development work remains.</w:t>
      </w:r>
    </w:p>
    <w:p w14:paraId="2294AC1E" w14:textId="77777777" w:rsidR="00BC398B" w:rsidRDefault="00BC398B">
      <w:pPr>
        <w:pStyle w:val="NormalWeb"/>
      </w:pPr>
      <w:r>
        <w:rPr>
          <w:rStyle w:val="Strong"/>
          <w:u w:val="single"/>
        </w:rPr>
        <w:t>Signal Processing and Semi-Blind Source Separation (sBSS)</w:t>
      </w:r>
    </w:p>
    <w:p w14:paraId="3C9BC527" w14:textId="77777777" w:rsidR="00BC398B" w:rsidRDefault="00BC398B">
      <w:pPr>
        <w:pStyle w:val="NormalWeb"/>
      </w:pPr>
      <w:r>
        <w:t>The proposed signal-processing pipeline is intended to reduce interference in the acquired bioelectrical data before deriving biometric features.</w:t>
      </w:r>
    </w:p>
    <w:p w14:paraId="3EE7433B" w14:textId="77777777" w:rsidR="00BC398B" w:rsidRDefault="00BC398B">
      <w:pPr>
        <w:pStyle w:val="NormalWeb"/>
      </w:pPr>
      <w:r>
        <w:t>A reasonable research starting point is simultaneous signal acquisition at 500 Hz or above, with investigation of the approximately 0.5–40 Hz range for EEG-related activity and appropriate anti-alias filtering. Alpha activity around 8–12 Hz and beta activity around 13–30 Hz could be investigated as potential features, without assuming that either band alone provides reliable identification.</w:t>
      </w:r>
    </w:p>
    <w:p w14:paraId="490B1503" w14:textId="77777777" w:rsidR="00BC398B" w:rsidRDefault="00BC398B">
      <w:pPr>
        <w:pStyle w:val="NormalWeb"/>
      </w:pPr>
      <w:r>
        <w:t>The proposed semi-blind source separation (sBSS) approach would be evaluated using the recorded raw data and suitable reference information, potentially including muscle-activity or motion-related signals where available.</w:t>
      </w:r>
    </w:p>
    <w:p w14:paraId="4931E11E" w14:textId="77777777" w:rsidR="00BC398B" w:rsidRDefault="00BC398B">
      <w:pPr>
        <w:pStyle w:val="NormalWeb"/>
      </w:pPr>
      <w:r>
        <w:t>The assessment should compare sBSS with the unprocessed recordings and simpler filtering methods. Source separation cannot be assumed to recover neural activity reliably if the original signal is too weak, the necessary information was not captured or the available channels do not allow the relevant sources to be distinguished.</w:t>
      </w:r>
    </w:p>
    <w:p w14:paraId="19960B40" w14:textId="77777777" w:rsidR="00BC398B" w:rsidRDefault="00BC398B">
      <w:pPr>
        <w:pStyle w:val="NormalWeb"/>
      </w:pPr>
      <w:r>
        <w:rPr>
          <w:rStyle w:val="Strong"/>
          <w:u w:val="single"/>
        </w:rPr>
        <w:t>Raw Data Acquisition and Biometric Enrolment</w:t>
      </w:r>
    </w:p>
    <w:p w14:paraId="2C3A5770" w14:textId="77777777" w:rsidR="00BC398B" w:rsidRDefault="00BC398B">
      <w:pPr>
        <w:pStyle w:val="NormalWeb"/>
      </w:pPr>
      <w:r>
        <w:t>Raw data acquisition and biometric enrolment are related but distinct stages of the proposed system.</w:t>
      </w:r>
    </w:p>
    <w:p w14:paraId="55393E93" w14:textId="77777777" w:rsidR="00BC398B" w:rsidRDefault="00BC398B">
      <w:pPr>
        <w:pStyle w:val="NormalWeb"/>
      </w:pPr>
      <w:r>
        <w:t>During initial development, simultaneous recordings from the cranial and hand-contact electrodes could be collected to assess signal quality, compare electrode configurations and test the proposed processing pipeline.</w:t>
      </w:r>
    </w:p>
    <w:p w14:paraId="102273E8" w14:textId="77777777" w:rsidR="00BC398B" w:rsidRDefault="00BC398B">
      <w:pPr>
        <w:pStyle w:val="NormalWeb"/>
      </w:pPr>
      <w:r>
        <w:t>During user enrolment, the user would first unlock the device using an existing authentication method and then perform the hand-to-forehead gesture repeatedly. The acquired recordings could be processed to identify repeatable features and, if the results support it, generate an enrolled biometric template.</w:t>
      </w:r>
    </w:p>
    <w:p w14:paraId="14C55158" w14:textId="77777777" w:rsidR="00BC398B" w:rsidRDefault="00BC398B">
      <w:pPr>
        <w:pStyle w:val="NormalWeb"/>
      </w:pPr>
      <w:r>
        <w:t>The same four cranial electrodes and two hand-contact electrodes could potentially be used for both enrolment and subsequent authentication. The electrode arrangement and processing pipeline used during verification should be compatible with those used to generate the enrolled template.</w:t>
      </w:r>
    </w:p>
    <w:p w14:paraId="70CE4A13" w14:textId="77777777" w:rsidR="00BC398B" w:rsidRDefault="00BC398B">
      <w:pPr>
        <w:pStyle w:val="NormalWeb"/>
      </w:pPr>
      <w:r>
        <w:rPr>
          <w:rStyle w:val="Strong"/>
          <w:u w:val="single"/>
        </w:rPr>
        <w:t>Everyday Authentication Process</w:t>
      </w:r>
    </w:p>
    <w:p w14:paraId="34FCA214" w14:textId="77777777" w:rsidR="00BC398B" w:rsidRDefault="00BC398B">
      <w:pPr>
        <w:pStyle w:val="NormalWeb"/>
      </w:pPr>
      <w:r>
        <w:t>The proposed everyday authentication sequence is:</w:t>
      </w:r>
    </w:p>
    <w:p w14:paraId="5AE2B7C0" w14:textId="77777777" w:rsidR="00BC398B" w:rsidRDefault="00BC398B" w:rsidP="00BC398B">
      <w:pPr>
        <w:numPr>
          <w:ilvl w:val="0"/>
          <w:numId w:val="3"/>
        </w:numPr>
        <w:spacing w:before="100" w:beforeAutospacing="1" w:after="100" w:afterAutospacing="1" w:line="240" w:lineRule="auto"/>
        <w:rPr>
          <w:rFonts w:eastAsia="Times New Roman"/>
        </w:rPr>
      </w:pPr>
      <w:r>
        <w:rPr>
          <w:rFonts w:eastAsia="Times New Roman"/>
        </w:rPr>
        <w:t>The user grips the handheld device using its designated conductive hand-contact areas.</w:t>
      </w:r>
    </w:p>
    <w:p w14:paraId="46B01C76" w14:textId="77777777" w:rsidR="00BC398B" w:rsidRDefault="00BC398B" w:rsidP="00BC398B">
      <w:pPr>
        <w:numPr>
          <w:ilvl w:val="0"/>
          <w:numId w:val="3"/>
        </w:numPr>
        <w:spacing w:before="100" w:beforeAutospacing="1" w:after="100" w:afterAutospacing="1" w:line="240" w:lineRule="auto"/>
        <w:rPr>
          <w:rFonts w:eastAsia="Times New Roman"/>
        </w:rPr>
      </w:pPr>
      <w:r>
        <w:rPr>
          <w:rFonts w:eastAsia="Times New Roman"/>
        </w:rPr>
        <w:t>The user briefly touches the designated cranial sensing area to the forehead or temple.</w:t>
      </w:r>
    </w:p>
    <w:p w14:paraId="6D40C14B" w14:textId="77777777" w:rsidR="00BC398B" w:rsidRDefault="00BC398B" w:rsidP="00BC398B">
      <w:pPr>
        <w:numPr>
          <w:ilvl w:val="0"/>
          <w:numId w:val="3"/>
        </w:numPr>
        <w:spacing w:before="100" w:beforeAutospacing="1" w:after="100" w:afterAutospacing="1" w:line="240" w:lineRule="auto"/>
        <w:rPr>
          <w:rFonts w:eastAsia="Times New Roman"/>
        </w:rPr>
      </w:pPr>
      <w:r>
        <w:rPr>
          <w:rFonts w:eastAsia="Times New Roman"/>
        </w:rPr>
        <w:t>The acquisition electronics record the available bioelectrical channels.</w:t>
      </w:r>
    </w:p>
    <w:p w14:paraId="68443FB2" w14:textId="77777777" w:rsidR="00BC398B" w:rsidRDefault="00BC398B" w:rsidP="00BC398B">
      <w:pPr>
        <w:numPr>
          <w:ilvl w:val="0"/>
          <w:numId w:val="3"/>
        </w:numPr>
        <w:spacing w:before="100" w:beforeAutospacing="1" w:after="100" w:afterAutospacing="1" w:line="240" w:lineRule="auto"/>
        <w:rPr>
          <w:rFonts w:eastAsia="Times New Roman"/>
        </w:rPr>
      </w:pPr>
      <w:r>
        <w:rPr>
          <w:rFonts w:eastAsia="Times New Roman"/>
        </w:rPr>
        <w:t>The processor applies the selected filtering and sBSS pipeline.</w:t>
      </w:r>
    </w:p>
    <w:p w14:paraId="1D4C8D9F" w14:textId="77777777" w:rsidR="00BC398B" w:rsidRDefault="00BC398B" w:rsidP="00BC398B">
      <w:pPr>
        <w:numPr>
          <w:ilvl w:val="0"/>
          <w:numId w:val="3"/>
        </w:numPr>
        <w:spacing w:before="100" w:beforeAutospacing="1" w:after="100" w:afterAutospacing="1" w:line="240" w:lineRule="auto"/>
        <w:rPr>
          <w:rFonts w:eastAsia="Times New Roman"/>
        </w:rPr>
      </w:pPr>
      <w:r>
        <w:rPr>
          <w:rFonts w:eastAsia="Times New Roman"/>
        </w:rPr>
        <w:t>Relevant features are extracted from the processed signals.</w:t>
      </w:r>
    </w:p>
    <w:p w14:paraId="1CE1CD34" w14:textId="77777777" w:rsidR="00BC398B" w:rsidRDefault="00BC398B" w:rsidP="00BC398B">
      <w:pPr>
        <w:numPr>
          <w:ilvl w:val="0"/>
          <w:numId w:val="3"/>
        </w:numPr>
        <w:spacing w:before="100" w:beforeAutospacing="1" w:after="100" w:afterAutospacing="1" w:line="240" w:lineRule="auto"/>
        <w:rPr>
          <w:rFonts w:eastAsia="Times New Roman"/>
        </w:rPr>
      </w:pPr>
      <w:r>
        <w:rPr>
          <w:rFonts w:eastAsia="Times New Roman"/>
        </w:rPr>
        <w:t>The resulting representation is compared with the enrolled user's stored biometric template.</w:t>
      </w:r>
    </w:p>
    <w:p w14:paraId="1D89FF76" w14:textId="77777777" w:rsidR="00BC398B" w:rsidRDefault="00BC398B" w:rsidP="00BC398B">
      <w:pPr>
        <w:numPr>
          <w:ilvl w:val="0"/>
          <w:numId w:val="3"/>
        </w:numPr>
        <w:spacing w:before="100" w:beforeAutospacing="1" w:after="100" w:afterAutospacing="1" w:line="240" w:lineRule="auto"/>
        <w:rPr>
          <w:rFonts w:eastAsia="Times New Roman"/>
        </w:rPr>
      </w:pPr>
      <w:r>
        <w:rPr>
          <w:rFonts w:eastAsia="Times New Roman"/>
        </w:rPr>
        <w:t>The device permits or denies access according to the authentication result.</w:t>
      </w:r>
    </w:p>
    <w:p w14:paraId="521A14DA" w14:textId="77777777" w:rsidR="00BC398B" w:rsidRDefault="00BC398B">
      <w:pPr>
        <w:pStyle w:val="NormalWeb"/>
      </w:pPr>
      <w:r>
        <w:t>The objective is to investigate whether this process could eventually provide convenient verification without requiring the user to enter a PIN for every authentication event. Achieving reliable operation would depend on successful engineering development and repeated testing.</w:t>
      </w:r>
    </w:p>
    <w:p w14:paraId="4D9ED7DF" w14:textId="77777777" w:rsidR="00BC398B" w:rsidRDefault="00BC398B">
      <w:pPr>
        <w:pStyle w:val="NormalWeb"/>
      </w:pPr>
      <w:r>
        <w:rPr>
          <w:rStyle w:val="Strong"/>
          <w:u w:val="single"/>
        </w:rPr>
        <w:t>Repeated Testing and Authentication Performance</w:t>
      </w:r>
    </w:p>
    <w:p w14:paraId="61CC5655" w14:textId="77777777" w:rsidR="00BC398B" w:rsidRDefault="00BC398B">
      <w:pPr>
        <w:pStyle w:val="NormalWeb"/>
      </w:pPr>
      <w:r>
        <w:t>The technical assessment should include a testing plan covering repeated sessions from the same users and measurements across different users.</w:t>
      </w:r>
    </w:p>
    <w:p w14:paraId="7718F04A" w14:textId="77777777" w:rsidR="00BC398B" w:rsidRDefault="00BC398B">
      <w:pPr>
        <w:pStyle w:val="NormalWeb"/>
      </w:pPr>
      <w:r>
        <w:t>Testing should investigate:</w:t>
      </w:r>
    </w:p>
    <w:p w14:paraId="12C738ED" w14:textId="77777777" w:rsidR="00BC398B" w:rsidRDefault="00BC398B" w:rsidP="00BC398B">
      <w:pPr>
        <w:numPr>
          <w:ilvl w:val="0"/>
          <w:numId w:val="4"/>
        </w:numPr>
        <w:spacing w:before="100" w:beforeAutospacing="1" w:after="100" w:afterAutospacing="1" w:line="240" w:lineRule="auto"/>
        <w:rPr>
          <w:rFonts w:eastAsia="Times New Roman"/>
        </w:rPr>
      </w:pPr>
      <w:r>
        <w:rPr>
          <w:rFonts w:eastAsia="Times New Roman"/>
        </w:rPr>
        <w:t>Repeatability of recordings across multiple sessions</w:t>
      </w:r>
    </w:p>
    <w:p w14:paraId="7FDFA11A" w14:textId="77777777" w:rsidR="00BC398B" w:rsidRDefault="00BC398B" w:rsidP="00BC398B">
      <w:pPr>
        <w:numPr>
          <w:ilvl w:val="0"/>
          <w:numId w:val="4"/>
        </w:numPr>
        <w:spacing w:before="100" w:beforeAutospacing="1" w:after="100" w:afterAutospacing="1" w:line="240" w:lineRule="auto"/>
        <w:rPr>
          <w:rFonts w:eastAsia="Times New Roman"/>
        </w:rPr>
      </w:pPr>
      <w:r>
        <w:rPr>
          <w:rFonts w:eastAsia="Times New Roman"/>
        </w:rPr>
        <w:t>Differences between cranial electrode configurations</w:t>
      </w:r>
    </w:p>
    <w:p w14:paraId="41346DD0" w14:textId="77777777" w:rsidR="00BC398B" w:rsidRDefault="00BC398B" w:rsidP="00BC398B">
      <w:pPr>
        <w:numPr>
          <w:ilvl w:val="0"/>
          <w:numId w:val="4"/>
        </w:numPr>
        <w:spacing w:before="100" w:beforeAutospacing="1" w:after="100" w:afterAutospacing="1" w:line="240" w:lineRule="auto"/>
        <w:rPr>
          <w:rFonts w:eastAsia="Times New Roman"/>
        </w:rPr>
      </w:pPr>
      <w:r>
        <w:rPr>
          <w:rFonts w:eastAsia="Times New Roman"/>
        </w:rPr>
        <w:t>The contribution of the two hand-contact electrodes</w:t>
      </w:r>
    </w:p>
    <w:p w14:paraId="136598B6" w14:textId="77777777" w:rsidR="00BC398B" w:rsidRDefault="00BC398B" w:rsidP="00BC398B">
      <w:pPr>
        <w:numPr>
          <w:ilvl w:val="0"/>
          <w:numId w:val="4"/>
        </w:numPr>
        <w:spacing w:before="100" w:beforeAutospacing="1" w:after="100" w:afterAutospacing="1" w:line="240" w:lineRule="auto"/>
        <w:rPr>
          <w:rFonts w:eastAsia="Times New Roman"/>
        </w:rPr>
      </w:pPr>
      <w:r>
        <w:rPr>
          <w:rFonts w:eastAsia="Times New Roman"/>
        </w:rPr>
        <w:t>Signal quality under variations in contact pressure and positioning</w:t>
      </w:r>
    </w:p>
    <w:p w14:paraId="3BA030EB" w14:textId="77777777" w:rsidR="00BC398B" w:rsidRDefault="00BC398B" w:rsidP="00BC398B">
      <w:pPr>
        <w:numPr>
          <w:ilvl w:val="0"/>
          <w:numId w:val="4"/>
        </w:numPr>
        <w:spacing w:before="100" w:beforeAutospacing="1" w:after="100" w:afterAutospacing="1" w:line="240" w:lineRule="auto"/>
        <w:rPr>
          <w:rFonts w:eastAsia="Times New Roman"/>
        </w:rPr>
      </w:pPr>
      <w:r>
        <w:rPr>
          <w:rFonts w:eastAsia="Times New Roman"/>
        </w:rPr>
        <w:t>The effects of facial muscle activity, hand movement and environmental interference</w:t>
      </w:r>
    </w:p>
    <w:p w14:paraId="0B81870F" w14:textId="77777777" w:rsidR="00BC398B" w:rsidRDefault="00BC398B" w:rsidP="00BC398B">
      <w:pPr>
        <w:numPr>
          <w:ilvl w:val="0"/>
          <w:numId w:val="4"/>
        </w:numPr>
        <w:spacing w:before="100" w:beforeAutospacing="1" w:after="100" w:afterAutospacing="1" w:line="240" w:lineRule="auto"/>
        <w:rPr>
          <w:rFonts w:eastAsia="Times New Roman"/>
        </w:rPr>
      </w:pPr>
      <w:r>
        <w:rPr>
          <w:rFonts w:eastAsia="Times New Roman"/>
        </w:rPr>
        <w:t>Whether sBSS improves performance compared with simpler filtering methods</w:t>
      </w:r>
    </w:p>
    <w:p w14:paraId="0326FC35" w14:textId="77777777" w:rsidR="00BC398B" w:rsidRDefault="00BC398B" w:rsidP="00BC398B">
      <w:pPr>
        <w:numPr>
          <w:ilvl w:val="0"/>
          <w:numId w:val="4"/>
        </w:numPr>
        <w:spacing w:before="100" w:beforeAutospacing="1" w:after="100" w:afterAutospacing="1" w:line="240" w:lineRule="auto"/>
        <w:rPr>
          <w:rFonts w:eastAsia="Times New Roman"/>
        </w:rPr>
      </w:pPr>
      <w:r>
        <w:rPr>
          <w:rFonts w:eastAsia="Times New Roman"/>
        </w:rPr>
        <w:t>The consistency of features used to create and match enrolled templates</w:t>
      </w:r>
    </w:p>
    <w:p w14:paraId="09A621BF" w14:textId="77777777" w:rsidR="00BC398B" w:rsidRDefault="00BC398B" w:rsidP="00BC398B">
      <w:pPr>
        <w:numPr>
          <w:ilvl w:val="0"/>
          <w:numId w:val="4"/>
        </w:numPr>
        <w:spacing w:before="100" w:beforeAutospacing="1" w:after="100" w:afterAutospacing="1" w:line="240" w:lineRule="auto"/>
        <w:rPr>
          <w:rFonts w:eastAsia="Times New Roman"/>
        </w:rPr>
      </w:pPr>
      <w:r>
        <w:rPr>
          <w:rFonts w:eastAsia="Times New Roman"/>
        </w:rPr>
        <w:t>False acceptance and false rejection rates</w:t>
      </w:r>
    </w:p>
    <w:p w14:paraId="45696179" w14:textId="77777777" w:rsidR="00BC398B" w:rsidRDefault="00BC398B" w:rsidP="00BC398B">
      <w:pPr>
        <w:numPr>
          <w:ilvl w:val="0"/>
          <w:numId w:val="4"/>
        </w:numPr>
        <w:spacing w:before="100" w:beforeAutospacing="1" w:after="100" w:afterAutospacing="1" w:line="240" w:lineRule="auto"/>
        <w:rPr>
          <w:rFonts w:eastAsia="Times New Roman"/>
        </w:rPr>
      </w:pPr>
      <w:r>
        <w:rPr>
          <w:rFonts w:eastAsia="Times New Roman"/>
        </w:rPr>
        <w:t>Resistance to spoofing and presentation attacks</w:t>
      </w:r>
    </w:p>
    <w:p w14:paraId="76CD3B8E" w14:textId="77777777" w:rsidR="00BC398B" w:rsidRDefault="00BC398B" w:rsidP="00BC398B">
      <w:pPr>
        <w:numPr>
          <w:ilvl w:val="0"/>
          <w:numId w:val="4"/>
        </w:numPr>
        <w:spacing w:before="100" w:beforeAutospacing="1" w:after="100" w:afterAutospacing="1" w:line="240" w:lineRule="auto"/>
        <w:rPr>
          <w:rFonts w:eastAsia="Times New Roman"/>
        </w:rPr>
      </w:pPr>
      <w:r>
        <w:rPr>
          <w:rFonts w:eastAsia="Times New Roman"/>
        </w:rPr>
        <w:t>Processing time, power consumption and practical device integration</w:t>
      </w:r>
    </w:p>
    <w:p w14:paraId="3A72BAFC" w14:textId="77777777" w:rsidR="00BC398B" w:rsidRDefault="00BC398B">
      <w:pPr>
        <w:pStyle w:val="NormalWeb"/>
      </w:pPr>
      <w:r>
        <w:t>These tests would help establish whether the acquired signals contain sufficiently repeatable and distinctive features for biometric authentication rather than merely demonstrating that bioelectrical activity can be recorded.</w:t>
      </w:r>
    </w:p>
    <w:p w14:paraId="5E7C2DE3" w14:textId="77777777" w:rsidR="00BC398B" w:rsidRDefault="00BC398B">
      <w:pPr>
        <w:pStyle w:val="NormalWeb"/>
      </w:pPr>
      <w:r>
        <w:rPr>
          <w:rStyle w:val="Strong"/>
          <w:u w:val="single"/>
        </w:rPr>
        <w:t>Potential Applications</w:t>
      </w:r>
    </w:p>
    <w:p w14:paraId="5CF93D39" w14:textId="77777777" w:rsidR="00BC398B" w:rsidRDefault="00BC398B">
      <w:pPr>
        <w:pStyle w:val="NormalWeb"/>
      </w:pPr>
      <w:r>
        <w:t>The proposed technology may have potential applications in:</w:t>
      </w:r>
    </w:p>
    <w:p w14:paraId="60AE92CA" w14:textId="77777777" w:rsidR="00BC398B" w:rsidRDefault="00BC398B" w:rsidP="00BC398B">
      <w:pPr>
        <w:numPr>
          <w:ilvl w:val="0"/>
          <w:numId w:val="5"/>
        </w:numPr>
        <w:spacing w:before="100" w:beforeAutospacing="1" w:after="100" w:afterAutospacing="1" w:line="240" w:lineRule="auto"/>
        <w:rPr>
          <w:rFonts w:eastAsia="Times New Roman"/>
        </w:rPr>
      </w:pPr>
      <w:r>
        <w:rPr>
          <w:rFonts w:eastAsia="Times New Roman"/>
        </w:rPr>
        <w:t>Smartphone unlocking and device access control</w:t>
      </w:r>
    </w:p>
    <w:p w14:paraId="24423C7B" w14:textId="11B1B713" w:rsidR="00BC398B" w:rsidRDefault="00BC398B" w:rsidP="00BC398B">
      <w:pPr>
        <w:numPr>
          <w:ilvl w:val="0"/>
          <w:numId w:val="5"/>
        </w:numPr>
        <w:spacing w:before="100" w:beforeAutospacing="1" w:after="100" w:afterAutospacing="1" w:line="240" w:lineRule="auto"/>
        <w:rPr>
          <w:rFonts w:eastAsia="Times New Roman"/>
        </w:rPr>
      </w:pPr>
      <w:r>
        <w:rPr>
          <w:rFonts w:eastAsia="Times New Roman"/>
        </w:rPr>
        <w:t>High-security mobile authentication</w:t>
      </w:r>
      <w:r w:rsidR="00696220">
        <w:rPr>
          <w:rFonts w:eastAsia="Times New Roman"/>
        </w:rPr>
        <w:t xml:space="preserve"> E.g. paying a bill</w:t>
      </w:r>
    </w:p>
    <w:p w14:paraId="1C170025" w14:textId="77777777" w:rsidR="00BC398B" w:rsidRDefault="00BC398B" w:rsidP="00BC398B">
      <w:pPr>
        <w:numPr>
          <w:ilvl w:val="0"/>
          <w:numId w:val="5"/>
        </w:numPr>
        <w:spacing w:before="100" w:beforeAutospacing="1" w:after="100" w:afterAutospacing="1" w:line="240" w:lineRule="auto"/>
        <w:rPr>
          <w:rFonts w:eastAsia="Times New Roman"/>
        </w:rPr>
      </w:pPr>
      <w:r>
        <w:rPr>
          <w:rFonts w:eastAsia="Times New Roman"/>
        </w:rPr>
        <w:t>Banking and financial applications</w:t>
      </w:r>
    </w:p>
    <w:p w14:paraId="396D4D87" w14:textId="77777777" w:rsidR="00BC398B" w:rsidRDefault="00BC398B" w:rsidP="00BC398B">
      <w:pPr>
        <w:numPr>
          <w:ilvl w:val="0"/>
          <w:numId w:val="5"/>
        </w:numPr>
        <w:spacing w:before="100" w:beforeAutospacing="1" w:after="100" w:afterAutospacing="1" w:line="240" w:lineRule="auto"/>
        <w:rPr>
          <w:rFonts w:eastAsia="Times New Roman"/>
        </w:rPr>
      </w:pPr>
      <w:r>
        <w:rPr>
          <w:rFonts w:eastAsia="Times New Roman"/>
        </w:rPr>
        <w:t>Enterprise device security</w:t>
      </w:r>
    </w:p>
    <w:p w14:paraId="314415D3" w14:textId="77777777" w:rsidR="00BC398B" w:rsidRDefault="00BC398B" w:rsidP="00BC398B">
      <w:pPr>
        <w:numPr>
          <w:ilvl w:val="0"/>
          <w:numId w:val="5"/>
        </w:numPr>
        <w:spacing w:before="100" w:beforeAutospacing="1" w:after="100" w:afterAutospacing="1" w:line="240" w:lineRule="auto"/>
        <w:rPr>
          <w:rFonts w:eastAsia="Times New Roman"/>
        </w:rPr>
      </w:pPr>
      <w:r>
        <w:rPr>
          <w:rFonts w:eastAsia="Times New Roman"/>
        </w:rPr>
        <w:t>Secure communications</w:t>
      </w:r>
    </w:p>
    <w:p w14:paraId="1C061B11" w14:textId="77777777" w:rsidR="00BC398B" w:rsidRDefault="00BC398B" w:rsidP="00BC398B">
      <w:pPr>
        <w:numPr>
          <w:ilvl w:val="0"/>
          <w:numId w:val="5"/>
        </w:numPr>
        <w:spacing w:before="100" w:beforeAutospacing="1" w:after="100" w:afterAutospacing="1" w:line="240" w:lineRule="auto"/>
        <w:rPr>
          <w:rFonts w:eastAsia="Times New Roman"/>
        </w:rPr>
      </w:pPr>
      <w:r>
        <w:rPr>
          <w:rFonts w:eastAsia="Times New Roman"/>
        </w:rPr>
        <w:t>Personal identity verification</w:t>
      </w:r>
    </w:p>
    <w:p w14:paraId="314925BB" w14:textId="77777777" w:rsidR="00BC398B" w:rsidRDefault="00BC398B" w:rsidP="00BC398B">
      <w:pPr>
        <w:numPr>
          <w:ilvl w:val="0"/>
          <w:numId w:val="5"/>
        </w:numPr>
        <w:spacing w:before="100" w:beforeAutospacing="1" w:after="100" w:afterAutospacing="1" w:line="240" w:lineRule="auto"/>
        <w:rPr>
          <w:rFonts w:eastAsia="Times New Roman"/>
        </w:rPr>
      </w:pPr>
      <w:r>
        <w:rPr>
          <w:rFonts w:eastAsia="Times New Roman"/>
        </w:rPr>
        <w:t>Biometric and multi-factor authentication</w:t>
      </w:r>
    </w:p>
    <w:p w14:paraId="5E394682" w14:textId="77777777" w:rsidR="00BC398B" w:rsidRDefault="00BC398B" w:rsidP="00BC398B">
      <w:pPr>
        <w:numPr>
          <w:ilvl w:val="0"/>
          <w:numId w:val="5"/>
        </w:numPr>
        <w:spacing w:before="100" w:beforeAutospacing="1" w:after="100" w:afterAutospacing="1" w:line="240" w:lineRule="auto"/>
        <w:rPr>
          <w:rFonts w:eastAsia="Times New Roman"/>
        </w:rPr>
      </w:pPr>
      <w:r>
        <w:rPr>
          <w:rFonts w:eastAsia="Times New Roman"/>
        </w:rPr>
        <w:t>Tablets and other handheld computational devices</w:t>
      </w:r>
    </w:p>
    <w:p w14:paraId="5652BF51" w14:textId="77777777" w:rsidR="00BC398B" w:rsidRDefault="00BC398B" w:rsidP="00BC398B">
      <w:pPr>
        <w:numPr>
          <w:ilvl w:val="0"/>
          <w:numId w:val="5"/>
        </w:numPr>
        <w:spacing w:before="100" w:beforeAutospacing="1" w:after="100" w:afterAutospacing="1" w:line="240" w:lineRule="auto"/>
        <w:rPr>
          <w:rFonts w:eastAsia="Times New Roman"/>
        </w:rPr>
      </w:pPr>
      <w:r>
        <w:rPr>
          <w:rFonts w:eastAsia="Times New Roman"/>
        </w:rPr>
        <w:t>Government and defence devices, subject to applicable testing and certification</w:t>
      </w:r>
    </w:p>
    <w:p w14:paraId="3F827B50" w14:textId="77777777" w:rsidR="00BC398B" w:rsidRDefault="00BC398B">
      <w:pPr>
        <w:pStyle w:val="NormalWeb"/>
      </w:pPr>
      <w:r>
        <w:t>These are potential applications rather than established commercial deployments.</w:t>
      </w:r>
    </w:p>
    <w:p w14:paraId="0BC193B1" w14:textId="77777777" w:rsidR="00BC398B" w:rsidRDefault="00BC398B">
      <w:pPr>
        <w:pStyle w:val="NormalWeb"/>
      </w:pPr>
      <w:r>
        <w:rPr>
          <w:rStyle w:val="Strong"/>
          <w:u w:val="single"/>
        </w:rPr>
        <w:t>Potential Manufacturing and Tier-1 Supplier Opportunities</w:t>
      </w:r>
    </w:p>
    <w:p w14:paraId="1C4BA8CC" w14:textId="77777777" w:rsidR="00BC398B" w:rsidRDefault="00BC398B">
      <w:pPr>
        <w:pStyle w:val="NormalWeb"/>
      </w:pPr>
      <w:r>
        <w:t>The invention may be relevant to companies specialising in:</w:t>
      </w:r>
    </w:p>
    <w:p w14:paraId="1D975621" w14:textId="77777777" w:rsidR="00BC398B" w:rsidRDefault="00BC398B" w:rsidP="00BC398B">
      <w:pPr>
        <w:numPr>
          <w:ilvl w:val="0"/>
          <w:numId w:val="6"/>
        </w:numPr>
        <w:spacing w:before="100" w:beforeAutospacing="1" w:after="100" w:afterAutospacing="1" w:line="240" w:lineRule="auto"/>
        <w:rPr>
          <w:rFonts w:eastAsia="Times New Roman"/>
        </w:rPr>
      </w:pPr>
      <w:r>
        <w:rPr>
          <w:rFonts w:eastAsia="Times New Roman"/>
        </w:rPr>
        <w:t>Smartphone and handheld-device manufacturing</w:t>
      </w:r>
    </w:p>
    <w:p w14:paraId="51CFF66C" w14:textId="77777777" w:rsidR="00BC398B" w:rsidRDefault="00BC398B" w:rsidP="00BC398B">
      <w:pPr>
        <w:numPr>
          <w:ilvl w:val="0"/>
          <w:numId w:val="6"/>
        </w:numPr>
        <w:spacing w:before="100" w:beforeAutospacing="1" w:after="100" w:afterAutospacing="1" w:line="240" w:lineRule="auto"/>
        <w:rPr>
          <w:rFonts w:eastAsia="Times New Roman"/>
        </w:rPr>
      </w:pPr>
      <w:r>
        <w:rPr>
          <w:rFonts w:eastAsia="Times New Roman"/>
        </w:rPr>
        <w:t>Display glass and transparent conductive coatings</w:t>
      </w:r>
    </w:p>
    <w:p w14:paraId="322D5D2F" w14:textId="77777777" w:rsidR="00BC398B" w:rsidRDefault="00BC398B" w:rsidP="00BC398B">
      <w:pPr>
        <w:numPr>
          <w:ilvl w:val="0"/>
          <w:numId w:val="6"/>
        </w:numPr>
        <w:spacing w:before="100" w:beforeAutospacing="1" w:after="100" w:afterAutospacing="1" w:line="240" w:lineRule="auto"/>
        <w:rPr>
          <w:rFonts w:eastAsia="Times New Roman"/>
        </w:rPr>
      </w:pPr>
      <w:r>
        <w:rPr>
          <w:rFonts w:eastAsia="Times New Roman"/>
        </w:rPr>
        <w:t>ITO and alternative transparent electrode materials</w:t>
      </w:r>
    </w:p>
    <w:p w14:paraId="115CA6A6" w14:textId="77777777" w:rsidR="00BC398B" w:rsidRDefault="00BC398B" w:rsidP="00BC398B">
      <w:pPr>
        <w:numPr>
          <w:ilvl w:val="0"/>
          <w:numId w:val="6"/>
        </w:numPr>
        <w:spacing w:before="100" w:beforeAutospacing="1" w:after="100" w:afterAutospacing="1" w:line="240" w:lineRule="auto"/>
        <w:rPr>
          <w:rFonts w:eastAsia="Times New Roman"/>
        </w:rPr>
      </w:pPr>
      <w:r>
        <w:rPr>
          <w:rFonts w:eastAsia="Times New Roman"/>
        </w:rPr>
        <w:t>Semiconductor components and bioelectrical acquisition electronics</w:t>
      </w:r>
    </w:p>
    <w:p w14:paraId="2A71E83A" w14:textId="77777777" w:rsidR="00BC398B" w:rsidRDefault="00BC398B" w:rsidP="00BC398B">
      <w:pPr>
        <w:numPr>
          <w:ilvl w:val="0"/>
          <w:numId w:val="6"/>
        </w:numPr>
        <w:spacing w:before="100" w:beforeAutospacing="1" w:after="100" w:afterAutospacing="1" w:line="240" w:lineRule="auto"/>
        <w:rPr>
          <w:rFonts w:eastAsia="Times New Roman"/>
        </w:rPr>
      </w:pPr>
      <w:r>
        <w:rPr>
          <w:rFonts w:eastAsia="Times New Roman"/>
        </w:rPr>
        <w:t>Low-noise analogue front ends and ADCs</w:t>
      </w:r>
    </w:p>
    <w:p w14:paraId="6EE6BC34" w14:textId="77777777" w:rsidR="00BC398B" w:rsidRDefault="00BC398B" w:rsidP="00BC398B">
      <w:pPr>
        <w:numPr>
          <w:ilvl w:val="0"/>
          <w:numId w:val="6"/>
        </w:numPr>
        <w:spacing w:before="100" w:beforeAutospacing="1" w:after="100" w:afterAutospacing="1" w:line="240" w:lineRule="auto"/>
        <w:rPr>
          <w:rFonts w:eastAsia="Times New Roman"/>
        </w:rPr>
      </w:pPr>
      <w:r>
        <w:rPr>
          <w:rFonts w:eastAsia="Times New Roman"/>
        </w:rPr>
        <w:t>Embedded processing and secure hardware</w:t>
      </w:r>
    </w:p>
    <w:p w14:paraId="24CF0D81" w14:textId="77777777" w:rsidR="00BC398B" w:rsidRDefault="00BC398B" w:rsidP="00BC398B">
      <w:pPr>
        <w:numPr>
          <w:ilvl w:val="0"/>
          <w:numId w:val="6"/>
        </w:numPr>
        <w:spacing w:before="100" w:beforeAutospacing="1" w:after="100" w:afterAutospacing="1" w:line="240" w:lineRule="auto"/>
        <w:rPr>
          <w:rFonts w:eastAsia="Times New Roman"/>
        </w:rPr>
      </w:pPr>
      <w:r>
        <w:rPr>
          <w:rFonts w:eastAsia="Times New Roman"/>
        </w:rPr>
        <w:t>Biometric authentication and cybersecurity</w:t>
      </w:r>
    </w:p>
    <w:p w14:paraId="3645D605" w14:textId="77777777" w:rsidR="00BC398B" w:rsidRDefault="00BC398B">
      <w:pPr>
        <w:pStyle w:val="NormalWeb"/>
      </w:pPr>
      <w:r>
        <w:t>Potential companies to investigate include Samsung Display, AGC, Nitto, GEOMATEC and Indium Corporation for relevant materials or component capabilities, alongside smartphone manufacturers such as Apple and Samsung Electronics.</w:t>
      </w:r>
    </w:p>
    <w:p w14:paraId="30305496" w14:textId="77777777" w:rsidR="00BC398B" w:rsidRDefault="00BC398B">
      <w:pPr>
        <w:pStyle w:val="NormalWeb"/>
      </w:pPr>
      <w:r>
        <w:t>These are potential commercial contacts only; no interest, endorsement, partnership or agreement is implied. The suitability of each company would depend on its capabilities, product requirements and willingness to evaluate the technology.</w:t>
      </w:r>
    </w:p>
    <w:p w14:paraId="4929BF01" w14:textId="77777777" w:rsidR="00BC398B" w:rsidRDefault="00BC398B">
      <w:pPr>
        <w:pStyle w:val="NormalWeb"/>
      </w:pPr>
      <w:r>
        <w:rPr>
          <w:rStyle w:val="Strong"/>
          <w:u w:val="single"/>
        </w:rPr>
        <w:t>Commercial Market Potential</w:t>
      </w:r>
    </w:p>
    <w:p w14:paraId="61917243" w14:textId="77777777" w:rsidR="00BC398B" w:rsidRDefault="00BC398B">
      <w:pPr>
        <w:pStyle w:val="NormalWeb"/>
      </w:pPr>
      <w:r>
        <w:t>Potential target markets include consumer electronics, smartphone manufacturing, display and component suppliers, semiconductor companies, biometric identity verification, cybersecurity, financial technology, enterprise IT and secure mobile computing.</w:t>
      </w:r>
    </w:p>
    <w:p w14:paraId="23D95992" w14:textId="77777777" w:rsidR="00BC398B" w:rsidRDefault="00BC398B">
      <w:pPr>
        <w:pStyle w:val="NormalWeb"/>
      </w:pPr>
      <w:r>
        <w:t>The commercial proposition is based on the possibility of integrating a handheld cranial bioelectrical sensing interface with dedicated low-noise acquisition electronics, multiple measurement channels, signal processing and local biometric authentication.</w:t>
      </w:r>
    </w:p>
    <w:p w14:paraId="644DF8B9" w14:textId="77777777" w:rsidR="00BC398B" w:rsidRDefault="00BC398B">
      <w:pPr>
        <w:pStyle w:val="NormalWeb"/>
      </w:pPr>
      <w:r>
        <w:t>Potential commercial routes include an outright patent sale, licensing, joint development or integration into an existing device platform, subject to the scope of the patent rights, technical feasibility and any relevant third-party intellectual property.</w:t>
      </w:r>
    </w:p>
    <w:p w14:paraId="1E4BC460" w14:textId="77777777" w:rsidR="00BC398B" w:rsidRDefault="00BC398B">
      <w:pPr>
        <w:pStyle w:val="NormalWeb"/>
      </w:pPr>
      <w:r>
        <w:rPr>
          <w:rStyle w:val="Strong"/>
          <w:u w:val="single"/>
        </w:rPr>
        <w:t>Why the Patent Could Be Commercially Relevant</w:t>
      </w:r>
    </w:p>
    <w:p w14:paraId="5BB95151" w14:textId="77777777" w:rsidR="00BC398B" w:rsidRDefault="00BC398B">
      <w:pPr>
        <w:pStyle w:val="NormalWeb"/>
      </w:pPr>
      <w:r>
        <w:t>The proposed system combines:</w:t>
      </w:r>
    </w:p>
    <w:p w14:paraId="6F718456" w14:textId="77777777" w:rsidR="00BC398B" w:rsidRDefault="00BC398B" w:rsidP="00BC398B">
      <w:pPr>
        <w:numPr>
          <w:ilvl w:val="0"/>
          <w:numId w:val="7"/>
        </w:numPr>
        <w:spacing w:before="100" w:beforeAutospacing="1" w:after="100" w:afterAutospacing="1" w:line="240" w:lineRule="auto"/>
        <w:rPr>
          <w:rFonts w:eastAsia="Times New Roman"/>
        </w:rPr>
      </w:pPr>
      <w:r>
        <w:rPr>
          <w:rFonts w:eastAsia="Times New Roman"/>
        </w:rPr>
        <w:t>A brief handheld touch interaction for cranial bioelectrical acquisition</w:t>
      </w:r>
    </w:p>
    <w:p w14:paraId="70EED75E" w14:textId="77777777" w:rsidR="00BC398B" w:rsidRDefault="00BC398B" w:rsidP="00BC398B">
      <w:pPr>
        <w:numPr>
          <w:ilvl w:val="0"/>
          <w:numId w:val="7"/>
        </w:numPr>
        <w:spacing w:before="100" w:beforeAutospacing="1" w:after="100" w:afterAutospacing="1" w:line="240" w:lineRule="auto"/>
        <w:rPr>
          <w:rFonts w:eastAsia="Times New Roman"/>
        </w:rPr>
      </w:pPr>
      <w:r>
        <w:rPr>
          <w:rFonts w:eastAsia="Times New Roman"/>
        </w:rPr>
        <w:t>A proposed four-cranial-electrode and two-hand-electrode configuration</w:t>
      </w:r>
    </w:p>
    <w:p w14:paraId="15C92238" w14:textId="77777777" w:rsidR="00BC398B" w:rsidRDefault="00BC398B" w:rsidP="00BC398B">
      <w:pPr>
        <w:numPr>
          <w:ilvl w:val="0"/>
          <w:numId w:val="7"/>
        </w:numPr>
        <w:spacing w:before="100" w:beforeAutospacing="1" w:after="100" w:afterAutospacing="1" w:line="240" w:lineRule="auto"/>
        <w:rPr>
          <w:rFonts w:eastAsia="Times New Roman"/>
        </w:rPr>
      </w:pPr>
      <w:r>
        <w:rPr>
          <w:rFonts w:eastAsia="Times New Roman"/>
        </w:rPr>
        <w:t>A dedicated low-noise amplifier positioned close to the cranial electrodes</w:t>
      </w:r>
    </w:p>
    <w:p w14:paraId="60327590" w14:textId="77777777" w:rsidR="00BC398B" w:rsidRDefault="00BC398B" w:rsidP="00BC398B">
      <w:pPr>
        <w:numPr>
          <w:ilvl w:val="0"/>
          <w:numId w:val="7"/>
        </w:numPr>
        <w:spacing w:before="100" w:beforeAutospacing="1" w:after="100" w:afterAutospacing="1" w:line="240" w:lineRule="auto"/>
        <w:rPr>
          <w:rFonts w:eastAsia="Times New Roman"/>
        </w:rPr>
      </w:pPr>
      <w:r>
        <w:rPr>
          <w:rFonts w:eastAsia="Times New Roman"/>
        </w:rPr>
        <w:t>Differential acquisition and evaluation of multiple signal channels</w:t>
      </w:r>
    </w:p>
    <w:p w14:paraId="0AD51080" w14:textId="77777777" w:rsidR="00BC398B" w:rsidRDefault="00BC398B" w:rsidP="00BC398B">
      <w:pPr>
        <w:numPr>
          <w:ilvl w:val="0"/>
          <w:numId w:val="7"/>
        </w:numPr>
        <w:spacing w:before="100" w:beforeAutospacing="1" w:after="100" w:afterAutospacing="1" w:line="240" w:lineRule="auto"/>
        <w:rPr>
          <w:rFonts w:eastAsia="Times New Roman"/>
        </w:rPr>
      </w:pPr>
      <w:r>
        <w:rPr>
          <w:rFonts w:eastAsia="Times New Roman"/>
        </w:rPr>
        <w:t>An sBSS-based processing approach intended to reduce interference</w:t>
      </w:r>
    </w:p>
    <w:p w14:paraId="2AE6A34B" w14:textId="77777777" w:rsidR="00BC398B" w:rsidRDefault="00BC398B" w:rsidP="00BC398B">
      <w:pPr>
        <w:numPr>
          <w:ilvl w:val="0"/>
          <w:numId w:val="7"/>
        </w:numPr>
        <w:spacing w:before="100" w:beforeAutospacing="1" w:after="100" w:afterAutospacing="1" w:line="240" w:lineRule="auto"/>
        <w:rPr>
          <w:rFonts w:eastAsia="Times New Roman"/>
        </w:rPr>
      </w:pPr>
      <w:r>
        <w:rPr>
          <w:rFonts w:eastAsia="Times New Roman"/>
        </w:rPr>
        <w:t>Biometric enrolment and subsequent template matching</w:t>
      </w:r>
    </w:p>
    <w:p w14:paraId="6D132ED6" w14:textId="77777777" w:rsidR="00BC398B" w:rsidRDefault="00BC398B" w:rsidP="00BC398B">
      <w:pPr>
        <w:numPr>
          <w:ilvl w:val="0"/>
          <w:numId w:val="7"/>
        </w:numPr>
        <w:spacing w:before="100" w:beforeAutospacing="1" w:after="100" w:afterAutospacing="1" w:line="240" w:lineRule="auto"/>
        <w:rPr>
          <w:rFonts w:eastAsia="Times New Roman"/>
        </w:rPr>
      </w:pPr>
      <w:r>
        <w:rPr>
          <w:rFonts w:eastAsia="Times New Roman"/>
        </w:rPr>
        <w:t>Local authentication and secure handling of biometric data</w:t>
      </w:r>
    </w:p>
    <w:p w14:paraId="13F8C999" w14:textId="77777777" w:rsidR="00BC398B" w:rsidRDefault="00BC398B">
      <w:pPr>
        <w:pStyle w:val="NormalWeb"/>
      </w:pPr>
      <w:r>
        <w:t>This combination provides a defined engineering concept for investigation by a suitable electronics, biometric-security or consumer-device development company.</w:t>
      </w:r>
    </w:p>
    <w:p w14:paraId="4A5A9DD1" w14:textId="77777777" w:rsidR="00BC398B" w:rsidRDefault="00BC398B">
      <w:pPr>
        <w:pStyle w:val="NormalWeb"/>
      </w:pPr>
      <w:r>
        <w:rPr>
          <w:rStyle w:val="Strong"/>
          <w:u w:val="single"/>
        </w:rPr>
        <w:t>Supporting Technical Package</w:t>
      </w:r>
    </w:p>
    <w:p w14:paraId="11652D5A" w14:textId="77777777" w:rsidR="00BC398B" w:rsidRDefault="00BC398B">
      <w:pPr>
        <w:pStyle w:val="NormalWeb"/>
      </w:pPr>
      <w:r>
        <w:t>The supporting package includes the UK patent application documentation and a technical description of the proposed handheld hardware, electrode arrangements, signal acquisition, amplifier requirements, processing pipeline and biometric enrolment method.</w:t>
      </w:r>
    </w:p>
    <w:p w14:paraId="718981AD" w14:textId="77777777" w:rsidR="00BC398B" w:rsidRDefault="00BC398B">
      <w:pPr>
        <w:pStyle w:val="NormalWeb"/>
      </w:pPr>
      <w:r>
        <w:t>A technical feasibility assessment is being sought from a suitable engineering firm. A prototype development quotation and estimated development timeframe are also to be confirmed and can then be added to the supporting package.</w:t>
      </w:r>
    </w:p>
    <w:p w14:paraId="4340BB97" w14:textId="77777777" w:rsidR="00BC398B" w:rsidRDefault="00BC398B">
      <w:pPr>
        <w:pStyle w:val="NormalWeb"/>
      </w:pPr>
      <w:r>
        <w:t>The requested assessment should identify the recommended components, proposed circuit and electrode architecture, key technical risks, testing requirements, estimated development stages, expected costs and likely prototype timeframe.</w:t>
      </w:r>
    </w:p>
    <w:p w14:paraId="25695F5B" w14:textId="77777777" w:rsidR="00BC398B" w:rsidRDefault="00BC398B">
      <w:pPr>
        <w:pStyle w:val="NormalWeb"/>
      </w:pPr>
      <w:r>
        <w:rPr>
          <w:rStyle w:val="Strong"/>
          <w:u w:val="single"/>
        </w:rPr>
        <w:t>Important Development Considerations</w:t>
      </w:r>
    </w:p>
    <w:p w14:paraId="567BF52F" w14:textId="77777777" w:rsidR="00BC398B" w:rsidRDefault="00BC398B">
      <w:pPr>
        <w:pStyle w:val="NormalWeb"/>
      </w:pPr>
      <w:r>
        <w:t>The proposed architecture requires further engineering development and experimental testing. In particular, the feasibility of capturing useful cranial signals through the proposed contact arrangement, the contribution of the hand electrodes, the effectiveness of sBSS and the repeatability of biometric features have not yet been established.</w:t>
      </w:r>
    </w:p>
    <w:p w14:paraId="6C79DEB8" w14:textId="77777777" w:rsidR="00BC398B" w:rsidRDefault="00BC398B">
      <w:pPr>
        <w:pStyle w:val="NormalWeb"/>
      </w:pPr>
      <w:r>
        <w:t>The use of an ADS1299-class component, transparent conductive materials or established manufacturing processes does not by itself demonstrate that the complete authentication system will work as intended. The selected components and manufacturing approach must be verified against the required signal quality, channel configuration, electrical safety, power consumption and product integration constraints.</w:t>
      </w:r>
    </w:p>
    <w:p w14:paraId="1A622019" w14:textId="77777777" w:rsidR="00BC398B" w:rsidRDefault="00BC398B">
      <w:pPr>
        <w:pStyle w:val="NormalWeb"/>
      </w:pPr>
      <w:r>
        <w:t>The commercial proposition therefore concerns a proposed technology and product roadmap, rather than a fully validated or commercially deployed authentication product.</w:t>
      </w:r>
    </w:p>
    <w:p w14:paraId="41761E19" w14:textId="77777777" w:rsidR="00BC398B" w:rsidRDefault="00BC398B">
      <w:pPr>
        <w:pStyle w:val="NormalWeb"/>
      </w:pPr>
      <w:r>
        <w:rPr>
          <w:rStyle w:val="Strong"/>
          <w:u w:val="single"/>
        </w:rPr>
        <w:t>Expected Increase in Patent Sale Price</w:t>
      </w:r>
    </w:p>
    <w:p w14:paraId="6B6D75B4" w14:textId="77777777" w:rsidR="00BC398B" w:rsidRDefault="00BC398B">
      <w:pPr>
        <w:pStyle w:val="NormalWeb"/>
      </w:pPr>
      <w:r>
        <w:t>Once the technical feasibility assessment has been completed by the selected engineering firm and the prototype development quotation and estimated timeframe have been confirmed, the patent's asking price can be reassessed.</w:t>
      </w:r>
    </w:p>
    <w:p w14:paraId="61496550" w14:textId="77777777" w:rsidR="00BC398B" w:rsidRDefault="00BC398B">
      <w:pPr>
        <w:pStyle w:val="NormalWeb"/>
      </w:pPr>
      <w:r>
        <w:t>A completed assessment and confirmed prototype costs could strengthen the supporting technical package, clarify the development requirements and help prospective buyers or licensees evaluate the commercial potential of Synavex AI. Any increase in sale price would depend on the assessment findings, the strength and scope of the patent rights, market interest and the terms offered by potential buyers.</w:t>
      </w:r>
    </w:p>
    <w:p w14:paraId="57C08FB1" w14:textId="77777777" w:rsidR="00BC398B" w:rsidRDefault="00BC398B">
      <w:pPr>
        <w:pStyle w:val="NormalWeb"/>
      </w:pPr>
      <w:r>
        <w:rPr>
          <w:rStyle w:val="Strong"/>
          <w:u w:val="single"/>
        </w:rPr>
        <w:t>Commercial Objective</w:t>
      </w:r>
    </w:p>
    <w:p w14:paraId="11556D25" w14:textId="77777777" w:rsidR="00BC398B" w:rsidRDefault="00BC398B">
      <w:pPr>
        <w:pStyle w:val="NormalWeb"/>
      </w:pPr>
      <w:r>
        <w:t>The objective is to identify potential buyers, licensees, manufacturing partners and technology companies interested in evaluating or integrating the proposed handheld bioelectrical authentication system into future computational devices.</w:t>
      </w:r>
    </w:p>
    <w:p w14:paraId="1548D0E0" w14:textId="77777777" w:rsidR="00BC398B" w:rsidRDefault="00BC398B">
      <w:pPr>
        <w:pStyle w:val="NormalWeb"/>
      </w:pPr>
      <w:r>
        <w:rPr>
          <w:rStyle w:val="Strong"/>
        </w:rPr>
        <w:t>Preferred commercial outcomes:</w:t>
      </w:r>
      <w:r>
        <w:t xml:space="preserve"> Outright patent sale, licensing agreement or structured development partnership.</w:t>
      </w:r>
    </w:p>
    <w:p w14:paraId="55E93B34" w14:textId="77777777" w:rsidR="00BC398B" w:rsidRDefault="00BC398B"/>
    <w:sectPr w:rsidR="00BC39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 w:name="Roboto">
    <w:panose1 w:val="02000000000000000000"/>
    <w:charset w:val="00"/>
    <w:family w:val="auto"/>
    <w:pitch w:val="variable"/>
    <w:sig w:usb0="E00002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111A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892E7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74405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32490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0F2AC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8F11A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6A194D"/>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98315508">
    <w:abstractNumId w:val="4"/>
  </w:num>
  <w:num w:numId="2" w16cid:durableId="1326740345">
    <w:abstractNumId w:val="3"/>
  </w:num>
  <w:num w:numId="3" w16cid:durableId="1523713112">
    <w:abstractNumId w:val="6"/>
  </w:num>
  <w:num w:numId="4" w16cid:durableId="1662153593">
    <w:abstractNumId w:val="5"/>
  </w:num>
  <w:num w:numId="5" w16cid:durableId="1695617315">
    <w:abstractNumId w:val="2"/>
  </w:num>
  <w:num w:numId="6" w16cid:durableId="205798130">
    <w:abstractNumId w:val="1"/>
  </w:num>
  <w:num w:numId="7" w16cid:durableId="628784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98B"/>
    <w:rsid w:val="000F0929"/>
    <w:rsid w:val="003E0A59"/>
    <w:rsid w:val="00602EFA"/>
    <w:rsid w:val="00671136"/>
    <w:rsid w:val="00696220"/>
    <w:rsid w:val="006B7408"/>
    <w:rsid w:val="008464CB"/>
    <w:rsid w:val="00AA5715"/>
    <w:rsid w:val="00AC0BC5"/>
    <w:rsid w:val="00BC3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967D7A"/>
  <w15:chartTrackingRefBased/>
  <w15:docId w15:val="{77805F53-17F7-1C40-BFF1-D189C51FC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39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39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39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39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39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39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39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39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39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9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39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39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39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39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39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39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39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398B"/>
    <w:rPr>
      <w:rFonts w:eastAsiaTheme="majorEastAsia" w:cstheme="majorBidi"/>
      <w:color w:val="272727" w:themeColor="text1" w:themeTint="D8"/>
    </w:rPr>
  </w:style>
  <w:style w:type="paragraph" w:styleId="Title">
    <w:name w:val="Title"/>
    <w:basedOn w:val="Normal"/>
    <w:next w:val="Normal"/>
    <w:link w:val="TitleChar"/>
    <w:uiPriority w:val="10"/>
    <w:qFormat/>
    <w:rsid w:val="00BC39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39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39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39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398B"/>
    <w:pPr>
      <w:spacing w:before="160"/>
      <w:jc w:val="center"/>
    </w:pPr>
    <w:rPr>
      <w:i/>
      <w:iCs/>
      <w:color w:val="404040" w:themeColor="text1" w:themeTint="BF"/>
    </w:rPr>
  </w:style>
  <w:style w:type="character" w:customStyle="1" w:styleId="QuoteChar">
    <w:name w:val="Quote Char"/>
    <w:basedOn w:val="DefaultParagraphFont"/>
    <w:link w:val="Quote"/>
    <w:uiPriority w:val="29"/>
    <w:rsid w:val="00BC398B"/>
    <w:rPr>
      <w:i/>
      <w:iCs/>
      <w:color w:val="404040" w:themeColor="text1" w:themeTint="BF"/>
    </w:rPr>
  </w:style>
  <w:style w:type="paragraph" w:styleId="ListParagraph">
    <w:name w:val="List Paragraph"/>
    <w:basedOn w:val="Normal"/>
    <w:uiPriority w:val="34"/>
    <w:qFormat/>
    <w:rsid w:val="00BC398B"/>
    <w:pPr>
      <w:ind w:left="720"/>
      <w:contextualSpacing/>
    </w:pPr>
  </w:style>
  <w:style w:type="character" w:styleId="IntenseEmphasis">
    <w:name w:val="Intense Emphasis"/>
    <w:basedOn w:val="DefaultParagraphFont"/>
    <w:uiPriority w:val="21"/>
    <w:qFormat/>
    <w:rsid w:val="00BC398B"/>
    <w:rPr>
      <w:i/>
      <w:iCs/>
      <w:color w:val="0F4761" w:themeColor="accent1" w:themeShade="BF"/>
    </w:rPr>
  </w:style>
  <w:style w:type="paragraph" w:styleId="IntenseQuote">
    <w:name w:val="Intense Quote"/>
    <w:basedOn w:val="Normal"/>
    <w:next w:val="Normal"/>
    <w:link w:val="IntenseQuoteChar"/>
    <w:uiPriority w:val="30"/>
    <w:qFormat/>
    <w:rsid w:val="00BC39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398B"/>
    <w:rPr>
      <w:i/>
      <w:iCs/>
      <w:color w:val="0F4761" w:themeColor="accent1" w:themeShade="BF"/>
    </w:rPr>
  </w:style>
  <w:style w:type="character" w:styleId="IntenseReference">
    <w:name w:val="Intense Reference"/>
    <w:basedOn w:val="DefaultParagraphFont"/>
    <w:uiPriority w:val="32"/>
    <w:qFormat/>
    <w:rsid w:val="00BC398B"/>
    <w:rPr>
      <w:b/>
      <w:bCs/>
      <w:smallCaps/>
      <w:color w:val="0F4761" w:themeColor="accent1" w:themeShade="BF"/>
      <w:spacing w:val="5"/>
    </w:rPr>
  </w:style>
  <w:style w:type="paragraph" w:styleId="NormalWeb">
    <w:name w:val="Normal (Web)"/>
    <w:basedOn w:val="Normal"/>
    <w:uiPriority w:val="99"/>
    <w:semiHidden/>
    <w:unhideWhenUsed/>
    <w:rsid w:val="00BC398B"/>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BC39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2513</Words>
  <Characters>14326</Characters>
  <Application>Microsoft Office Word</Application>
  <DocSecurity>0</DocSecurity>
  <Lines>119</Lines>
  <Paragraphs>33</Paragraphs>
  <ScaleCrop>false</ScaleCrop>
  <Company/>
  <LinksUpToDate>false</LinksUpToDate>
  <CharactersWithSpaces>16806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 Wendwesen</dc:creator>
  <cp:keywords/>
  <dc:description/>
  <cp:lastModifiedBy>Brook Wendwesen</cp:lastModifiedBy>
  <cp:revision>2</cp:revision>
  <dcterms:created xsi:type="dcterms:W3CDTF">2026-10-29T18:06:00Z</dcterms:created>
  <dcterms:modified xsi:type="dcterms:W3CDTF">2026-10-29T18:06:00Z</dcterms:modified>
</cp:coreProperties>
</file>